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Extended.xml" ContentType="application/vnd.openxmlformats-officedocument.wordprocessingml.commentsExtended+xml"/>
  <Override PartName="/word/commentsIds.xml" ContentType="application/vnd.openxmlformats-officedocument.wordprocessingml.commentsIds+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881A30" w:rsidR="0006263A" w:rsidP="004C7742" w:rsidRDefault="004C7742" w14:paraId="534AA7DA" w14:textId="76FA9ABA">
      <w:pPr>
        <w:jc w:val="center"/>
        <w:rPr>
          <w:rFonts w:ascii="Garamond" w:hAnsi="Garamond"/>
          <w:b/>
          <w:bCs/>
          <w:sz w:val="32"/>
          <w:szCs w:val="32"/>
          <w:u w:val="single"/>
        </w:rPr>
      </w:pPr>
      <w:r w:rsidRPr="00881A30">
        <w:rPr>
          <w:rFonts w:ascii="Garamond" w:hAnsi="Garamond"/>
          <w:b/>
          <w:bCs/>
          <w:sz w:val="32"/>
          <w:szCs w:val="32"/>
          <w:highlight w:val="yellow"/>
          <w:u w:val="single"/>
        </w:rPr>
        <w:t>Temporary Relief</w:t>
      </w:r>
    </w:p>
    <w:p w:rsidRPr="00106F1D" w:rsidR="004C7742" w:rsidP="000C1969" w:rsidRDefault="004C7742" w14:paraId="5E86EB31" w14:textId="154703BE">
      <w:pPr>
        <w:spacing w:after="240" w:line="240" w:lineRule="auto"/>
        <w:rPr>
          <w:rFonts w:ascii="Garamond" w:hAnsi="Garamond"/>
        </w:rPr>
      </w:pPr>
      <w:r w:rsidRPr="00106F1D">
        <w:rPr>
          <w:rFonts w:ascii="Garamond" w:hAnsi="Garamond"/>
          <w:b/>
          <w:bCs/>
        </w:rPr>
        <w:t>Statutory Authority:</w:t>
      </w:r>
      <w:r w:rsidRPr="00106F1D">
        <w:rPr>
          <w:rFonts w:ascii="Garamond" w:hAnsi="Garamond"/>
        </w:rPr>
        <w:t xml:space="preserve"> </w:t>
      </w:r>
      <w:r w:rsidRPr="00EF13D8">
        <w:rPr>
          <w:rFonts w:ascii="Garamond" w:hAnsi="Garamond"/>
        </w:rPr>
        <w:t>Statute 518.131</w:t>
      </w:r>
      <w:r w:rsidRPr="00EF13D8" w:rsidR="00B941C7">
        <w:rPr>
          <w:rFonts w:ascii="Garamond" w:hAnsi="Garamond"/>
        </w:rPr>
        <w:t>; Rule 115</w:t>
      </w:r>
      <w:r w:rsidRPr="00EF13D8" w:rsidR="00E86A19">
        <w:rPr>
          <w:rFonts w:ascii="Garamond" w:hAnsi="Garamond"/>
        </w:rPr>
        <w:t xml:space="preserve">; </w:t>
      </w:r>
      <w:r w:rsidR="000D63A1">
        <w:rPr>
          <w:rFonts w:ascii="Garamond" w:hAnsi="Garamond"/>
        </w:rPr>
        <w:t xml:space="preserve">MN General Rule of Practice - </w:t>
      </w:r>
      <w:r w:rsidRPr="00EF13D8" w:rsidR="00E86A19">
        <w:rPr>
          <w:rFonts w:ascii="Garamond" w:hAnsi="Garamond"/>
        </w:rPr>
        <w:t>Rule 303</w:t>
      </w:r>
    </w:p>
    <w:p w:rsidRPr="00106F1D" w:rsidR="007A3161" w:rsidP="000C1969" w:rsidRDefault="007A3161" w14:paraId="1672E6BA" w14:textId="0B2C03A7">
      <w:pPr>
        <w:spacing w:after="240" w:line="240" w:lineRule="auto"/>
        <w:rPr>
          <w:rFonts w:ascii="Garamond" w:hAnsi="Garamond"/>
        </w:rPr>
      </w:pPr>
      <w:r w:rsidRPr="2F2E315D">
        <w:rPr>
          <w:rFonts w:ascii="Garamond" w:hAnsi="Garamond"/>
          <w:b/>
          <w:bCs/>
        </w:rPr>
        <w:t>Waiting period before filing:</w:t>
      </w:r>
      <w:r w:rsidRPr="2F2E315D">
        <w:rPr>
          <w:rFonts w:ascii="Garamond" w:hAnsi="Garamond"/>
        </w:rPr>
        <w:t xml:space="preserve"> Some counties (Olmsted primarily) require that </w:t>
      </w:r>
      <w:r w:rsidRPr="2F2E315D" w:rsidR="7B64492E">
        <w:rPr>
          <w:rFonts w:ascii="Garamond" w:hAnsi="Garamond"/>
        </w:rPr>
        <w:t xml:space="preserve">ADR &amp; the </w:t>
      </w:r>
      <w:r w:rsidRPr="2F2E315D">
        <w:rPr>
          <w:rFonts w:ascii="Garamond" w:hAnsi="Garamond"/>
        </w:rPr>
        <w:t xml:space="preserve"> ICMC hearing must be completed prior to requesting temporary relief. </w:t>
      </w:r>
      <w:r w:rsidRPr="2F2E315D" w:rsidR="68CDDE17">
        <w:rPr>
          <w:rFonts w:ascii="Garamond" w:hAnsi="Garamond"/>
        </w:rPr>
        <w:t xml:space="preserve">(See wiki on ECM process for more info) </w:t>
      </w:r>
      <w:r w:rsidRPr="2F2E315D">
        <w:rPr>
          <w:rFonts w:ascii="Garamond" w:hAnsi="Garamond"/>
        </w:rPr>
        <w:t xml:space="preserve">Otherwise, the general requirement is that the initial pleadings must have been served on the other party prior to requesting a temporary relief hearing. </w:t>
      </w:r>
    </w:p>
    <w:p w:rsidRPr="00106F1D" w:rsidR="004C7742" w:rsidP="000C1969" w:rsidRDefault="004C7742" w14:paraId="0DE38736" w14:textId="77777777">
      <w:pPr>
        <w:spacing w:after="240" w:line="240" w:lineRule="auto"/>
        <w:rPr>
          <w:rFonts w:ascii="Garamond" w:hAnsi="Garamond"/>
          <w:b/>
          <w:bCs/>
        </w:rPr>
      </w:pPr>
      <w:r w:rsidRPr="00106F1D">
        <w:rPr>
          <w:rFonts w:ascii="Garamond" w:hAnsi="Garamond"/>
          <w:b/>
          <w:bCs/>
        </w:rPr>
        <w:t xml:space="preserve">Required Findings / Legal Standard: </w:t>
      </w:r>
    </w:p>
    <w:p w:rsidRPr="00106F1D" w:rsidR="004C7742" w:rsidP="000C1969" w:rsidRDefault="004C7742" w14:paraId="077507DF" w14:textId="04CF9C7A">
      <w:pPr>
        <w:pStyle w:val="ListParagraph"/>
        <w:numPr>
          <w:ilvl w:val="0"/>
          <w:numId w:val="4"/>
        </w:numPr>
        <w:spacing w:after="0" w:line="240" w:lineRule="auto"/>
        <w:contextualSpacing w:val="0"/>
        <w:rPr>
          <w:rFonts w:ascii="Garamond" w:hAnsi="Garamond"/>
        </w:rPr>
      </w:pPr>
      <w:r w:rsidRPr="00106F1D">
        <w:rPr>
          <w:rFonts w:ascii="Garamond" w:hAnsi="Garamond"/>
        </w:rPr>
        <w:t>The court shall be guided</w:t>
      </w:r>
      <w:r w:rsidR="00CA5A2E">
        <w:rPr>
          <w:rFonts w:ascii="Garamond" w:hAnsi="Garamond"/>
        </w:rPr>
        <w:t xml:space="preserve"> generally</w:t>
      </w:r>
      <w:r w:rsidRPr="00106F1D">
        <w:rPr>
          <w:rFonts w:ascii="Garamond" w:hAnsi="Garamond"/>
        </w:rPr>
        <w:t xml:space="preserve"> by:</w:t>
      </w:r>
    </w:p>
    <w:p w:rsidRPr="00106F1D" w:rsidR="004C7742" w:rsidP="000C1969" w:rsidRDefault="004C7742" w14:paraId="32B9BF9C" w14:textId="17E3D190">
      <w:pPr>
        <w:pStyle w:val="ListParagraph"/>
        <w:numPr>
          <w:ilvl w:val="1"/>
          <w:numId w:val="4"/>
        </w:numPr>
        <w:spacing w:after="0" w:line="240" w:lineRule="auto"/>
        <w:contextualSpacing w:val="0"/>
        <w:rPr>
          <w:rFonts w:ascii="Garamond" w:hAnsi="Garamond"/>
        </w:rPr>
      </w:pPr>
      <w:r w:rsidRPr="00106F1D">
        <w:rPr>
          <w:rFonts w:ascii="Garamond" w:hAnsi="Garamond"/>
        </w:rPr>
        <w:t xml:space="preserve">Child support -  518A </w:t>
      </w:r>
    </w:p>
    <w:p w:rsidRPr="00106F1D" w:rsidR="004C7742" w:rsidP="000C1969" w:rsidRDefault="004C7742" w14:paraId="29C085C6" w14:textId="77777777">
      <w:pPr>
        <w:pStyle w:val="ListParagraph"/>
        <w:numPr>
          <w:ilvl w:val="1"/>
          <w:numId w:val="4"/>
        </w:numPr>
        <w:spacing w:after="0" w:line="240" w:lineRule="auto"/>
        <w:contextualSpacing w:val="0"/>
        <w:rPr>
          <w:rFonts w:ascii="Garamond" w:hAnsi="Garamond"/>
        </w:rPr>
      </w:pPr>
      <w:r w:rsidRPr="00106F1D">
        <w:rPr>
          <w:rFonts w:ascii="Garamond" w:hAnsi="Garamond"/>
        </w:rPr>
        <w:t>Maintenance - 518.552</w:t>
      </w:r>
    </w:p>
    <w:p w:rsidRPr="00106F1D" w:rsidR="004C7742" w:rsidP="000C1969" w:rsidRDefault="004C7742" w14:paraId="7A678241" w14:textId="77777777">
      <w:pPr>
        <w:pStyle w:val="ListParagraph"/>
        <w:numPr>
          <w:ilvl w:val="1"/>
          <w:numId w:val="4"/>
        </w:numPr>
        <w:spacing w:after="0" w:line="240" w:lineRule="auto"/>
        <w:contextualSpacing w:val="0"/>
        <w:rPr>
          <w:rFonts w:ascii="Garamond" w:hAnsi="Garamond"/>
        </w:rPr>
      </w:pPr>
      <w:r w:rsidRPr="00106F1D">
        <w:rPr>
          <w:rFonts w:ascii="Garamond" w:hAnsi="Garamond"/>
        </w:rPr>
        <w:t xml:space="preserve">Custody &amp; Parenting Time -  518.17 to 518.175 </w:t>
      </w:r>
    </w:p>
    <w:p w:rsidRPr="00106F1D" w:rsidR="004C7742" w:rsidP="000C1969" w:rsidRDefault="004C7742" w14:paraId="147C562F" w14:textId="47E7BAE8">
      <w:pPr>
        <w:pStyle w:val="ListParagraph"/>
        <w:numPr>
          <w:ilvl w:val="1"/>
          <w:numId w:val="4"/>
        </w:numPr>
        <w:spacing w:after="240" w:line="240" w:lineRule="auto"/>
        <w:contextualSpacing w:val="0"/>
        <w:rPr>
          <w:rFonts w:ascii="Garamond" w:hAnsi="Garamond"/>
        </w:rPr>
      </w:pPr>
      <w:r w:rsidRPr="00106F1D">
        <w:rPr>
          <w:rFonts w:ascii="Garamond" w:hAnsi="Garamond"/>
        </w:rPr>
        <w:t xml:space="preserve">Costs &amp; Attorney’s Fees - 518.14 </w:t>
      </w:r>
    </w:p>
    <w:p w:rsidRPr="00106F1D" w:rsidR="00323DE7" w:rsidP="000C1969" w:rsidRDefault="004C7742" w14:paraId="044C8152" w14:textId="7B67A9CC">
      <w:pPr>
        <w:spacing w:after="240" w:line="240" w:lineRule="auto"/>
        <w:rPr>
          <w:rFonts w:ascii="Garamond" w:hAnsi="Garamond"/>
          <w:b/>
          <w:bCs/>
        </w:rPr>
      </w:pPr>
      <w:r w:rsidRPr="00106F1D">
        <w:rPr>
          <w:rFonts w:ascii="Garamond" w:hAnsi="Garamond"/>
          <w:b/>
          <w:bCs/>
        </w:rPr>
        <w:t>Notice Timeline:</w:t>
      </w:r>
      <w:r w:rsidR="00AF6956">
        <w:rPr>
          <w:rFonts w:ascii="Garamond" w:hAnsi="Garamond"/>
          <w:b/>
          <w:bCs/>
        </w:rPr>
        <w:t xml:space="preserve"> </w:t>
      </w:r>
      <w:r w:rsidRPr="001B1A4D" w:rsidR="00AF6956">
        <w:rPr>
          <w:rFonts w:ascii="Garamond" w:hAnsi="Garamond"/>
        </w:rPr>
        <w:t xml:space="preserve">(Standard </w:t>
      </w:r>
      <w:r w:rsidR="00AF6956">
        <w:rPr>
          <w:rFonts w:ascii="Garamond" w:hAnsi="Garamond"/>
        </w:rPr>
        <w:t>Motion Timelines Apply</w:t>
      </w:r>
      <w:r w:rsidRPr="001B1A4D" w:rsidR="00AF6956">
        <w:rPr>
          <w:rFonts w:ascii="Garamond" w:hAnsi="Garamond"/>
        </w:rPr>
        <w:t>)</w:t>
      </w:r>
    </w:p>
    <w:p w:rsidRPr="00106F1D" w:rsidR="00323DE7" w:rsidP="000C1969" w:rsidRDefault="005B00C6" w14:paraId="53206C79" w14:textId="6285E771">
      <w:pPr>
        <w:pStyle w:val="ListParagraph"/>
        <w:numPr>
          <w:ilvl w:val="0"/>
          <w:numId w:val="6"/>
        </w:numPr>
        <w:spacing w:after="240" w:line="240" w:lineRule="auto"/>
        <w:contextualSpacing w:val="0"/>
        <w:rPr>
          <w:rFonts w:ascii="Garamond" w:hAnsi="Garamond"/>
          <w:b/>
          <w:bCs/>
        </w:rPr>
      </w:pPr>
      <w:r w:rsidRPr="00106F1D">
        <w:rPr>
          <w:rFonts w:ascii="Garamond" w:hAnsi="Garamond"/>
        </w:rPr>
        <w:t xml:space="preserve">Once you obtain a hearing date, you must “promptly give written notice” </w:t>
      </w:r>
      <w:r w:rsidR="00D8007F">
        <w:rPr>
          <w:rFonts w:ascii="Garamond" w:hAnsi="Garamond"/>
        </w:rPr>
        <w:t xml:space="preserve">to the other party </w:t>
      </w:r>
      <w:r w:rsidRPr="00106F1D" w:rsidR="002D5054">
        <w:rPr>
          <w:rFonts w:ascii="Garamond" w:hAnsi="Garamond"/>
        </w:rPr>
        <w:t>of the date, time, judge, and primary issues</w:t>
      </w:r>
      <w:r w:rsidR="00CF57F2">
        <w:rPr>
          <w:rStyle w:val="FootnoteReference"/>
          <w:rFonts w:ascii="Garamond" w:hAnsi="Garamond"/>
        </w:rPr>
        <w:footnoteReference w:id="1"/>
      </w:r>
      <w:r w:rsidRPr="00106F1D" w:rsidR="002D5054">
        <w:rPr>
          <w:rFonts w:ascii="Garamond" w:hAnsi="Garamond"/>
        </w:rPr>
        <w:t xml:space="preserve">. </w:t>
      </w:r>
      <w:r w:rsidRPr="00106F1D" w:rsidR="00323DE7">
        <w:rPr>
          <w:rFonts w:ascii="Garamond" w:hAnsi="Garamond"/>
          <w:b/>
          <w:bCs/>
        </w:rPr>
        <w:t>Rule 115.02</w:t>
      </w:r>
      <w:r w:rsidRPr="00106F1D" w:rsidR="001C3990">
        <w:rPr>
          <w:rFonts w:ascii="Garamond" w:hAnsi="Garamond"/>
          <w:b/>
          <w:bCs/>
        </w:rPr>
        <w:t>; Rule 303</w:t>
      </w:r>
    </w:p>
    <w:p w:rsidRPr="00106F1D" w:rsidR="00EF13D8" w:rsidP="000C1969" w:rsidRDefault="00EF13D8" w14:paraId="5DEDBFF3" w14:textId="532BBA86">
      <w:pPr>
        <w:pStyle w:val="ListParagraph"/>
        <w:numPr>
          <w:ilvl w:val="0"/>
          <w:numId w:val="6"/>
        </w:numPr>
        <w:spacing w:after="240" w:line="240" w:lineRule="auto"/>
        <w:contextualSpacing w:val="0"/>
        <w:rPr>
          <w:rFonts w:ascii="Garamond" w:hAnsi="Garamond"/>
        </w:rPr>
      </w:pPr>
      <w:r w:rsidRPr="00106F1D">
        <w:rPr>
          <w:rFonts w:ascii="Garamond" w:hAnsi="Garamond"/>
        </w:rPr>
        <w:t>You must contact the other party within 7 days after filing the motion to talk about settling your case, including the use of alternative dispute resolution (ADR), including Early Neutral Evaluation (ENE) options. See Rule 303.03(c) MN Gen. Rules of Practice.</w:t>
      </w:r>
    </w:p>
    <w:p w:rsidRPr="00106F1D" w:rsidR="004C7742" w:rsidP="000C1969" w:rsidRDefault="004C7742" w14:paraId="7F000559" w14:textId="5245312A">
      <w:pPr>
        <w:spacing w:after="240" w:line="240" w:lineRule="auto"/>
        <w:rPr>
          <w:rFonts w:ascii="Garamond" w:hAnsi="Garamond"/>
        </w:rPr>
      </w:pPr>
      <w:r w:rsidRPr="00106F1D">
        <w:rPr>
          <w:rFonts w:ascii="Garamond" w:hAnsi="Garamond"/>
          <w:b/>
          <w:bCs/>
        </w:rPr>
        <w:t xml:space="preserve">Mandatory Hearing? </w:t>
      </w:r>
      <w:r w:rsidRPr="00106F1D">
        <w:rPr>
          <w:rFonts w:ascii="Garamond" w:hAnsi="Garamond"/>
        </w:rPr>
        <w:t>Yes</w:t>
      </w:r>
    </w:p>
    <w:p w:rsidRPr="00D57F3B" w:rsidR="004C7742" w:rsidP="000C1969" w:rsidRDefault="004C7742" w14:paraId="08BDCFD2" w14:textId="2ED27CFF">
      <w:pPr>
        <w:spacing w:after="240" w:line="240" w:lineRule="auto"/>
        <w:rPr>
          <w:rFonts w:ascii="Garamond" w:hAnsi="Garamond"/>
        </w:rPr>
      </w:pPr>
      <w:r w:rsidRPr="00106F1D">
        <w:rPr>
          <w:rFonts w:ascii="Garamond" w:hAnsi="Garamond"/>
          <w:b/>
          <w:bCs/>
        </w:rPr>
        <w:t xml:space="preserve">Filing Fees: </w:t>
      </w:r>
      <w:r w:rsidR="00D57F3B">
        <w:rPr>
          <w:rFonts w:ascii="Garamond" w:hAnsi="Garamond"/>
        </w:rPr>
        <w:t>Yes</w:t>
      </w:r>
      <w:r w:rsidR="00C533F0">
        <w:rPr>
          <w:rFonts w:ascii="Garamond" w:hAnsi="Garamond"/>
        </w:rPr>
        <w:t xml:space="preserve"> – motion filing fee</w:t>
      </w:r>
      <w:r w:rsidR="00D57F3B">
        <w:rPr>
          <w:rFonts w:ascii="Garamond" w:hAnsi="Garamond"/>
        </w:rPr>
        <w:t>. Varies by County, usually about $100</w:t>
      </w:r>
    </w:p>
    <w:p w:rsidRPr="00106F1D" w:rsidR="001D3050" w:rsidP="000C1969" w:rsidRDefault="004C7742" w14:paraId="21CFBAD8" w14:textId="2EB41D9C">
      <w:pPr>
        <w:pStyle w:val="NormalWeb"/>
        <w:shd w:val="clear" w:color="auto" w:fill="FFFFFF"/>
        <w:spacing w:before="48" w:beforeAutospacing="0" w:after="240" w:afterAutospacing="0"/>
        <w:rPr>
          <w:rFonts w:ascii="Garamond" w:hAnsi="Garamond"/>
          <w:color w:val="000000"/>
        </w:rPr>
      </w:pPr>
      <w:r w:rsidRPr="00106F1D">
        <w:rPr>
          <w:rFonts w:ascii="Garamond" w:hAnsi="Garamond"/>
          <w:b/>
          <w:bCs/>
        </w:rPr>
        <w:t>Required Documents:</w:t>
      </w:r>
      <w:r w:rsidR="001D3050">
        <w:rPr>
          <w:rFonts w:ascii="Garamond" w:hAnsi="Garamond"/>
          <w:b/>
          <w:bCs/>
        </w:rPr>
        <w:t xml:space="preserve"> </w:t>
      </w:r>
      <w:r w:rsidRPr="00106F1D" w:rsidR="001D3050">
        <w:rPr>
          <w:rFonts w:ascii="Garamond" w:hAnsi="Garamond"/>
          <w:color w:val="000000"/>
        </w:rPr>
        <w:t>Temporary orders shall be made solely on the basis of affidavits and argument of counsel except upon demand by either party in a motion or responsive motion made within the time limit for making and filing a responsive motion that the matter be heard on oral testimony before the court, or if the court in its discretion orders the taking of oral testimony.</w:t>
      </w:r>
      <w:r w:rsidR="001D3050">
        <w:rPr>
          <w:rFonts w:ascii="Garamond" w:hAnsi="Garamond"/>
          <w:color w:val="000000"/>
        </w:rPr>
        <w:t xml:space="preserve"> </w:t>
      </w:r>
      <w:r w:rsidRPr="00106F1D" w:rsidR="001D3050">
        <w:rPr>
          <w:rFonts w:ascii="Garamond" w:hAnsi="Garamond"/>
        </w:rPr>
        <w:t>No testimony will be taken at motion hearings except under unusual circumstances.</w:t>
      </w:r>
      <w:r w:rsidR="00873005">
        <w:rPr>
          <w:rStyle w:val="FootnoteReference"/>
          <w:rFonts w:ascii="Garamond" w:hAnsi="Garamond"/>
        </w:rPr>
        <w:footnoteReference w:id="2"/>
      </w:r>
    </w:p>
    <w:p w:rsidRPr="00106F1D" w:rsidR="00BD02F4" w:rsidP="000C1969" w:rsidRDefault="00BD02F4" w14:paraId="79C040C4" w14:textId="5D657F2A">
      <w:pPr>
        <w:pStyle w:val="ListParagraph"/>
        <w:numPr>
          <w:ilvl w:val="0"/>
          <w:numId w:val="8"/>
        </w:numPr>
        <w:spacing w:after="240" w:line="240" w:lineRule="auto"/>
        <w:contextualSpacing w:val="0"/>
        <w:rPr>
          <w:rFonts w:ascii="Garamond" w:hAnsi="Garamond"/>
        </w:rPr>
      </w:pPr>
      <w:r w:rsidRPr="351919C2" w:rsidR="00BD02F4">
        <w:rPr>
          <w:rFonts w:ascii="Garamond" w:hAnsi="Garamond"/>
          <w:b w:val="1"/>
          <w:bCs w:val="1"/>
        </w:rPr>
        <w:t>Notice of Motion</w:t>
      </w:r>
      <w:r w:rsidRPr="351919C2" w:rsidR="4C948467">
        <w:rPr>
          <w:rFonts w:ascii="Garamond" w:hAnsi="Garamond"/>
          <w:b w:val="1"/>
          <w:bCs w:val="1"/>
        </w:rPr>
        <w:t>:</w:t>
      </w:r>
      <w:r w:rsidRPr="351919C2" w:rsidR="00B67D88">
        <w:rPr>
          <w:rFonts w:ascii="Garamond" w:hAnsi="Garamond"/>
          <w:b w:val="1"/>
          <w:bCs w:val="1"/>
        </w:rPr>
        <w:t xml:space="preserve"> </w:t>
      </w:r>
      <w:r w:rsidRPr="351919C2" w:rsidR="3E50743D">
        <w:rPr>
          <w:rFonts w:ascii="Garamond" w:hAnsi="Garamond"/>
        </w:rPr>
        <w:t>Must</w:t>
      </w:r>
      <w:r w:rsidRPr="351919C2" w:rsidR="00B67D88">
        <w:rPr>
          <w:rFonts w:ascii="Garamond" w:hAnsi="Garamond"/>
          <w:b w:val="1"/>
          <w:bCs w:val="1"/>
        </w:rPr>
        <w:t xml:space="preserve"> </w:t>
      </w:r>
      <w:r w:rsidRPr="351919C2" w:rsidR="00B67D88">
        <w:rPr>
          <w:rFonts w:ascii="Garamond" w:hAnsi="Garamond"/>
        </w:rPr>
        <w:t xml:space="preserve">state the date, time, and place of the hearing, name of Judge, </w:t>
      </w:r>
      <w:r w:rsidRPr="351919C2" w:rsidR="00DC4EFE">
        <w:rPr>
          <w:rFonts w:ascii="Garamond" w:hAnsi="Garamond"/>
        </w:rPr>
        <w:t>notice of time to respond</w:t>
      </w:r>
      <w:r w:rsidRPr="351919C2" w:rsidR="00074A88">
        <w:rPr>
          <w:rFonts w:ascii="Garamond" w:hAnsi="Garamond"/>
        </w:rPr>
        <w:t xml:space="preserve">, and </w:t>
      </w:r>
      <w:r w:rsidRPr="351919C2" w:rsidR="00BA3B82">
        <w:rPr>
          <w:rFonts w:ascii="Garamond" w:hAnsi="Garamond"/>
        </w:rPr>
        <w:t>sets</w:t>
      </w:r>
      <w:r w:rsidRPr="351919C2" w:rsidR="00074A88">
        <w:rPr>
          <w:rFonts w:ascii="Garamond" w:hAnsi="Garamond"/>
        </w:rPr>
        <w:t xml:space="preserve"> out with particularity the relief requested in individually numbered paragraphs</w:t>
      </w:r>
    </w:p>
    <w:p w:rsidRPr="00106F1D" w:rsidR="00BA3B82" w:rsidP="000C1969" w:rsidRDefault="00BA3B82" w14:paraId="63490239" w14:textId="7E7B6953">
      <w:pPr>
        <w:pStyle w:val="ListParagraph"/>
        <w:numPr>
          <w:ilvl w:val="0"/>
          <w:numId w:val="8"/>
        </w:numPr>
        <w:spacing w:after="240" w:line="240" w:lineRule="auto"/>
        <w:contextualSpacing w:val="0"/>
        <w:rPr>
          <w:rFonts w:ascii="Garamond" w:hAnsi="Garamond"/>
        </w:rPr>
      </w:pPr>
      <w:r w:rsidRPr="690357AC">
        <w:rPr>
          <w:rFonts w:ascii="Garamond" w:hAnsi="Garamond"/>
          <w:b/>
          <w:bCs/>
        </w:rPr>
        <w:t>Affidavits</w:t>
      </w:r>
      <w:r w:rsidRPr="690357AC" w:rsidR="2E3F9517">
        <w:rPr>
          <w:rFonts w:ascii="Garamond" w:hAnsi="Garamond"/>
          <w:b/>
          <w:bCs/>
        </w:rPr>
        <w:t>:</w:t>
      </w:r>
      <w:r w:rsidRPr="690357AC">
        <w:rPr>
          <w:rFonts w:ascii="Garamond" w:hAnsi="Garamond"/>
          <w:b/>
          <w:bCs/>
        </w:rPr>
        <w:t xml:space="preserve"> </w:t>
      </w:r>
      <w:r w:rsidRPr="690357AC" w:rsidR="21141D19">
        <w:rPr>
          <w:rFonts w:ascii="Garamond" w:hAnsi="Garamond"/>
        </w:rPr>
        <w:t>Must</w:t>
      </w:r>
      <w:r w:rsidRPr="690357AC">
        <w:rPr>
          <w:rFonts w:ascii="Garamond" w:hAnsi="Garamond"/>
        </w:rPr>
        <w:t xml:space="preserve"> contain facts relevant to the issues before the court.</w:t>
      </w:r>
    </w:p>
    <w:p w:rsidRPr="00106F1D" w:rsidR="002D1F21" w:rsidP="000C1969" w:rsidRDefault="002D1F21" w14:paraId="05B730D0" w14:textId="00387909">
      <w:pPr>
        <w:pStyle w:val="ListParagraph"/>
        <w:numPr>
          <w:ilvl w:val="0"/>
          <w:numId w:val="8"/>
        </w:numPr>
        <w:spacing w:after="240" w:line="240" w:lineRule="auto"/>
        <w:contextualSpacing w:val="0"/>
        <w:rPr>
          <w:rFonts w:ascii="Garamond" w:hAnsi="Garamond"/>
        </w:rPr>
      </w:pPr>
      <w:r w:rsidRPr="00106F1D">
        <w:rPr>
          <w:rFonts w:ascii="Garamond" w:hAnsi="Garamond"/>
          <w:b/>
          <w:bCs/>
        </w:rPr>
        <w:t xml:space="preserve">Exhibits: </w:t>
      </w:r>
      <w:r w:rsidRPr="00106F1D">
        <w:rPr>
          <w:rFonts w:ascii="Garamond" w:hAnsi="Garamond"/>
        </w:rPr>
        <w:t>Filed as “other document” or</w:t>
      </w:r>
      <w:r w:rsidRPr="00106F1D" w:rsidR="00106F1D">
        <w:rPr>
          <w:rFonts w:ascii="Garamond" w:hAnsi="Garamond"/>
        </w:rPr>
        <w:t xml:space="preserve"> if confidential “Confidential information form 11.2 attachments</w:t>
      </w:r>
      <w:r w:rsidR="005C4B40">
        <w:rPr>
          <w:rFonts w:ascii="Garamond" w:hAnsi="Garamond"/>
        </w:rPr>
        <w:t>”</w:t>
      </w:r>
    </w:p>
    <w:p w:rsidRPr="00106F1D" w:rsidR="002D1F21" w:rsidP="000C1969" w:rsidRDefault="007C0717" w14:paraId="58BCEE1A" w14:textId="66B57711">
      <w:pPr>
        <w:pStyle w:val="ListParagraph"/>
        <w:numPr>
          <w:ilvl w:val="0"/>
          <w:numId w:val="8"/>
        </w:numPr>
        <w:spacing w:after="240" w:line="240" w:lineRule="auto"/>
        <w:contextualSpacing w:val="0"/>
        <w:rPr>
          <w:rFonts w:ascii="Garamond" w:hAnsi="Garamond"/>
        </w:rPr>
      </w:pPr>
      <w:r w:rsidRPr="690357AC">
        <w:rPr>
          <w:rFonts w:ascii="Garamond" w:hAnsi="Garamond"/>
          <w:b/>
          <w:bCs/>
        </w:rPr>
        <w:t>Cover Sheet for Non-Public Documents Form 11.2</w:t>
      </w:r>
      <w:r w:rsidRPr="690357AC" w:rsidR="002D1F21">
        <w:rPr>
          <w:rFonts w:ascii="Garamond" w:hAnsi="Garamond"/>
          <w:b/>
          <w:bCs/>
        </w:rPr>
        <w:t>:</w:t>
      </w:r>
      <w:r w:rsidRPr="690357AC" w:rsidR="002D1F21">
        <w:rPr>
          <w:rFonts w:ascii="Garamond" w:hAnsi="Garamond"/>
        </w:rPr>
        <w:t xml:space="preserve"> (if submitting financial documents as exhibits)</w:t>
      </w:r>
    </w:p>
    <w:p w:rsidRPr="00106F1D" w:rsidR="00CC0700" w:rsidP="000C1969" w:rsidRDefault="00CC0700" w14:paraId="7B48E087" w14:textId="1935F7AE">
      <w:pPr>
        <w:pStyle w:val="ListParagraph"/>
        <w:numPr>
          <w:ilvl w:val="0"/>
          <w:numId w:val="8"/>
        </w:numPr>
        <w:spacing w:after="240" w:line="240" w:lineRule="auto"/>
        <w:contextualSpacing w:val="0"/>
        <w:rPr>
          <w:rFonts w:ascii="Garamond" w:hAnsi="Garamond"/>
        </w:rPr>
      </w:pPr>
      <w:r w:rsidRPr="00106F1D">
        <w:rPr>
          <w:rFonts w:ascii="Garamond" w:hAnsi="Garamond"/>
          <w:b/>
          <w:bCs/>
        </w:rPr>
        <w:t>Parenting/ Financial Disclosure Stmt</w:t>
      </w:r>
      <w:r w:rsidR="007A5691">
        <w:rPr>
          <w:rFonts w:ascii="Garamond" w:hAnsi="Garamond"/>
          <w:b/>
          <w:bCs/>
        </w:rPr>
        <w:t>:</w:t>
      </w:r>
      <w:r w:rsidRPr="00106F1D">
        <w:rPr>
          <w:rFonts w:ascii="Garamond" w:hAnsi="Garamond"/>
        </w:rPr>
        <w:t xml:space="preserve"> When temporary financial relief such as child support, maintenance, payment of debt and attorney's fees is requested, the Parenting/Financial Disclosure Statement form developed by the state court administrator shall be served and filed by the moving and responding parties, along with their motions and affidavits. Sanctions for failure to comply include, but are not limited to, the striking of pleadings or hearing.</w:t>
      </w:r>
      <w:r w:rsidRPr="005B627E" w:rsidR="005B627E">
        <w:rPr>
          <w:rStyle w:val="FootnoteReference"/>
          <w:rFonts w:ascii="Garamond" w:hAnsi="Garamond"/>
        </w:rPr>
        <w:t xml:space="preserve"> </w:t>
      </w:r>
      <w:r w:rsidR="005B627E">
        <w:rPr>
          <w:rStyle w:val="FootnoteReference"/>
          <w:rFonts w:ascii="Garamond" w:hAnsi="Garamond"/>
        </w:rPr>
        <w:footnoteReference w:id="3"/>
      </w:r>
      <w:r w:rsidRPr="00106F1D">
        <w:rPr>
          <w:rFonts w:ascii="Garamond" w:hAnsi="Garamond"/>
        </w:rPr>
        <w:t xml:space="preserve"> Rule 303.02(b)</w:t>
      </w:r>
    </w:p>
    <w:p w:rsidR="00B16DCF" w:rsidP="000C1969" w:rsidRDefault="00B16DCF" w14:paraId="108CDD5A" w14:textId="41E5E43D">
      <w:pPr>
        <w:pStyle w:val="ListParagraph"/>
        <w:numPr>
          <w:ilvl w:val="0"/>
          <w:numId w:val="8"/>
        </w:numPr>
        <w:spacing w:after="240" w:line="240" w:lineRule="auto"/>
        <w:contextualSpacing w:val="0"/>
        <w:rPr>
          <w:rFonts w:ascii="Garamond" w:hAnsi="Garamond"/>
        </w:rPr>
      </w:pPr>
      <w:r w:rsidRPr="00106F1D">
        <w:rPr>
          <w:rFonts w:ascii="Garamond" w:hAnsi="Garamond"/>
          <w:b/>
          <w:bCs/>
        </w:rPr>
        <w:t>Memorandum of Law</w:t>
      </w:r>
      <w:r w:rsidR="007D5BDC">
        <w:rPr>
          <w:rFonts w:ascii="Garamond" w:hAnsi="Garamond"/>
          <w:b/>
          <w:bCs/>
        </w:rPr>
        <w:t xml:space="preserve">: </w:t>
      </w:r>
      <w:r w:rsidR="007D5BDC">
        <w:rPr>
          <w:rFonts w:ascii="Garamond" w:hAnsi="Garamond"/>
        </w:rPr>
        <w:t>M</w:t>
      </w:r>
      <w:r w:rsidRPr="00106F1D" w:rsidR="00EC2796">
        <w:rPr>
          <w:rFonts w:ascii="Garamond" w:hAnsi="Garamond"/>
        </w:rPr>
        <w:t>oving party must submit 21 days prior to hearing</w:t>
      </w:r>
      <w:r w:rsidR="007D5BDC">
        <w:rPr>
          <w:rFonts w:ascii="Garamond" w:hAnsi="Garamond"/>
        </w:rPr>
        <w:t>.</w:t>
      </w:r>
      <w:r w:rsidRPr="009E1AFD" w:rsidR="009E1AFD">
        <w:rPr>
          <w:rStyle w:val="FootnoteReference"/>
          <w:rFonts w:ascii="Garamond" w:hAnsi="Garamond"/>
        </w:rPr>
        <w:t xml:space="preserve"> </w:t>
      </w:r>
      <w:r w:rsidR="009E1AFD">
        <w:rPr>
          <w:rStyle w:val="FootnoteReference"/>
          <w:rFonts w:ascii="Garamond" w:hAnsi="Garamond"/>
        </w:rPr>
        <w:footnoteReference w:id="4"/>
      </w:r>
      <w:r w:rsidR="005B627E">
        <w:rPr>
          <w:rFonts w:ascii="Garamond" w:hAnsi="Garamond"/>
        </w:rPr>
        <w:t xml:space="preserve"> </w:t>
      </w:r>
      <w:r w:rsidRPr="00106F1D" w:rsidR="007D5BDC">
        <w:rPr>
          <w:rFonts w:ascii="Garamond" w:hAnsi="Garamond"/>
        </w:rPr>
        <w:t>Rule 303.03</w:t>
      </w:r>
    </w:p>
    <w:p w:rsidRPr="00106F1D" w:rsidR="00EF13D8" w:rsidP="000C1969" w:rsidRDefault="00EF13D8" w14:paraId="3399B0EE" w14:textId="300E8120">
      <w:pPr>
        <w:pStyle w:val="ListParagraph"/>
        <w:numPr>
          <w:ilvl w:val="0"/>
          <w:numId w:val="8"/>
        </w:numPr>
        <w:spacing w:after="240" w:line="240" w:lineRule="auto"/>
        <w:contextualSpacing w:val="0"/>
        <w:rPr>
          <w:rFonts w:ascii="Garamond" w:hAnsi="Garamond"/>
        </w:rPr>
      </w:pPr>
      <w:r>
        <w:rPr>
          <w:rFonts w:ascii="Garamond" w:hAnsi="Garamond"/>
          <w:b/>
          <w:bCs/>
        </w:rPr>
        <w:t>Certificate of Settlement Efforts</w:t>
      </w:r>
      <w:r w:rsidR="00291F68">
        <w:rPr>
          <w:rFonts w:ascii="Garamond" w:hAnsi="Garamond"/>
          <w:b/>
          <w:bCs/>
        </w:rPr>
        <w:t xml:space="preserve">: </w:t>
      </w:r>
      <w:r w:rsidRPr="00291F68" w:rsidR="00291F68">
        <w:rPr>
          <w:rFonts w:ascii="Garamond" w:hAnsi="Garamond"/>
        </w:rPr>
        <w:t>Moving party must file a</w:t>
      </w:r>
      <w:r w:rsidR="00291F68">
        <w:rPr>
          <w:rFonts w:ascii="Garamond" w:hAnsi="Garamond"/>
          <w:b/>
          <w:bCs/>
        </w:rPr>
        <w:t xml:space="preserve"> </w:t>
      </w:r>
      <w:r w:rsidRPr="00291F68" w:rsidR="00291F68">
        <w:rPr>
          <w:rFonts w:ascii="Garamond" w:hAnsi="Garamond"/>
        </w:rPr>
        <w:t>Certificate of Settlement Efforts not later than 24 hours before the hearing. Unless excused by the Court for good cause, no motion shall be heard unless the parties have complied with this rule.</w:t>
      </w:r>
      <w:r w:rsidR="007A5691">
        <w:rPr>
          <w:rFonts w:ascii="Garamond" w:hAnsi="Garamond"/>
        </w:rPr>
        <w:t xml:space="preserve"> </w:t>
      </w:r>
      <w:r w:rsidR="00377181">
        <w:rPr>
          <w:rFonts w:ascii="Garamond" w:hAnsi="Garamond"/>
        </w:rPr>
        <w:t>(Rule 303.03(c)</w:t>
      </w:r>
    </w:p>
    <w:p w:rsidRPr="00106F1D" w:rsidR="004C7742" w:rsidP="000C1969" w:rsidRDefault="004C7742" w14:paraId="77C6B08C" w14:textId="4734001E">
      <w:pPr>
        <w:spacing w:after="240" w:line="240" w:lineRule="auto"/>
        <w:rPr>
          <w:rFonts w:ascii="Garamond" w:hAnsi="Garamond"/>
          <w:b/>
          <w:bCs/>
        </w:rPr>
      </w:pPr>
      <w:r w:rsidRPr="00106F1D">
        <w:rPr>
          <w:rFonts w:ascii="Garamond" w:hAnsi="Garamond"/>
          <w:b/>
          <w:bCs/>
        </w:rPr>
        <w:t>Impermissible Requests:</w:t>
      </w:r>
    </w:p>
    <w:p w:rsidRPr="00106F1D" w:rsidR="004C7742" w:rsidP="000C1969" w:rsidRDefault="00CD2EB3" w14:paraId="1B940789" w14:textId="0B386E07">
      <w:pPr>
        <w:pStyle w:val="ListParagraph"/>
        <w:numPr>
          <w:ilvl w:val="2"/>
          <w:numId w:val="4"/>
        </w:numPr>
        <w:spacing w:after="240" w:line="240" w:lineRule="auto"/>
        <w:ind w:left="720"/>
        <w:contextualSpacing w:val="0"/>
        <w:rPr>
          <w:rFonts w:ascii="Garamond" w:hAnsi="Garamond"/>
        </w:rPr>
      </w:pPr>
      <w:r w:rsidRPr="00CD2EB3">
        <w:rPr>
          <w:rFonts w:ascii="Garamond" w:hAnsi="Garamond"/>
          <w:b/>
          <w:bCs/>
        </w:rPr>
        <w:t xml:space="preserve">Denial of </w:t>
      </w:r>
      <w:r w:rsidR="00A52C7C">
        <w:rPr>
          <w:rFonts w:ascii="Garamond" w:hAnsi="Garamond"/>
          <w:b/>
          <w:bCs/>
        </w:rPr>
        <w:t>p</w:t>
      </w:r>
      <w:r w:rsidRPr="00CD2EB3">
        <w:rPr>
          <w:rFonts w:ascii="Garamond" w:hAnsi="Garamond"/>
          <w:b/>
          <w:bCs/>
        </w:rPr>
        <w:t>arenting time:</w:t>
      </w:r>
      <w:r>
        <w:rPr>
          <w:rFonts w:ascii="Garamond" w:hAnsi="Garamond"/>
        </w:rPr>
        <w:t xml:space="preserve"> </w:t>
      </w:r>
      <w:r w:rsidRPr="00106F1D" w:rsidR="004C7742">
        <w:rPr>
          <w:rFonts w:ascii="Garamond" w:hAnsi="Garamond"/>
        </w:rPr>
        <w:t>Parenting time may be denied only if it would likely cause harm to the child.</w:t>
      </w:r>
    </w:p>
    <w:p w:rsidRPr="00106F1D" w:rsidR="004C7742" w:rsidP="000C1969" w:rsidRDefault="00CD2EB3" w14:paraId="18F1CEDD" w14:textId="0D3CCA21">
      <w:pPr>
        <w:pStyle w:val="ListParagraph"/>
        <w:numPr>
          <w:ilvl w:val="2"/>
          <w:numId w:val="4"/>
        </w:numPr>
        <w:spacing w:after="240" w:line="240" w:lineRule="auto"/>
        <w:ind w:left="720"/>
        <w:contextualSpacing w:val="0"/>
        <w:rPr>
          <w:rFonts w:ascii="Garamond" w:hAnsi="Garamond"/>
        </w:rPr>
      </w:pPr>
      <w:r w:rsidRPr="351919C2" w:rsidR="00CD2EB3">
        <w:rPr>
          <w:rFonts w:ascii="Garamond" w:hAnsi="Garamond"/>
          <w:b w:val="1"/>
          <w:bCs w:val="1"/>
        </w:rPr>
        <w:t xml:space="preserve">Exclusion from </w:t>
      </w:r>
      <w:r w:rsidRPr="351919C2" w:rsidR="00A52C7C">
        <w:rPr>
          <w:rFonts w:ascii="Garamond" w:hAnsi="Garamond"/>
          <w:b w:val="1"/>
          <w:bCs w:val="1"/>
        </w:rPr>
        <w:t>home:</w:t>
      </w:r>
      <w:r w:rsidRPr="351919C2" w:rsidR="00A52C7C">
        <w:rPr>
          <w:rFonts w:ascii="Garamond" w:hAnsi="Garamond"/>
        </w:rPr>
        <w:t xml:space="preserve"> </w:t>
      </w:r>
      <w:r w:rsidRPr="351919C2" w:rsidR="004C7742">
        <w:rPr>
          <w:rFonts w:ascii="Garamond" w:hAnsi="Garamond"/>
        </w:rPr>
        <w:t xml:space="preserve">A party may be excluded from the family home only if harm is likely or the exclusion is </w:t>
      </w:r>
      <w:r w:rsidRPr="351919C2" w:rsidR="004C7742">
        <w:rPr>
          <w:rFonts w:ascii="Garamond" w:hAnsi="Garamond"/>
        </w:rPr>
        <w:t>otherwise reasonable</w:t>
      </w:r>
      <w:r w:rsidRPr="351919C2" w:rsidR="004C7742">
        <w:rPr>
          <w:rFonts w:ascii="Garamond" w:hAnsi="Garamond"/>
        </w:rPr>
        <w:t>.</w:t>
      </w:r>
    </w:p>
    <w:p w:rsidRPr="00106F1D" w:rsidR="004C7742" w:rsidP="000C1969" w:rsidRDefault="00A52C7C" w14:paraId="0F99C1B0" w14:textId="61ACE763">
      <w:pPr>
        <w:pStyle w:val="ListParagraph"/>
        <w:numPr>
          <w:ilvl w:val="2"/>
          <w:numId w:val="4"/>
        </w:numPr>
        <w:spacing w:after="240" w:line="240" w:lineRule="auto"/>
        <w:ind w:left="720"/>
        <w:contextualSpacing w:val="0"/>
        <w:rPr>
          <w:rFonts w:ascii="Garamond" w:hAnsi="Garamond"/>
        </w:rPr>
      </w:pPr>
      <w:r w:rsidRPr="00A52C7C">
        <w:rPr>
          <w:rFonts w:ascii="Garamond" w:hAnsi="Garamond"/>
          <w:b/>
          <w:bCs/>
        </w:rPr>
        <w:t>Modifying OFP:</w:t>
      </w:r>
      <w:r>
        <w:rPr>
          <w:rFonts w:ascii="Garamond" w:hAnsi="Garamond"/>
        </w:rPr>
        <w:t xml:space="preserve"> </w:t>
      </w:r>
      <w:r w:rsidRPr="00106F1D" w:rsidR="004C7742">
        <w:rPr>
          <w:rFonts w:ascii="Garamond" w:hAnsi="Garamond"/>
        </w:rPr>
        <w:t>An order for protection generally cannot be changed without a properly noticed motion, even if heard alongside a divorce, and any change must be issued as a separate order.</w:t>
      </w:r>
    </w:p>
    <w:p w:rsidRPr="00106F1D" w:rsidR="004C7742" w:rsidP="0096541D" w:rsidRDefault="001E42B6" w14:paraId="6945ABE9" w14:textId="331766CB">
      <w:pPr>
        <w:spacing w:after="240" w:line="240" w:lineRule="auto"/>
        <w:jc w:val="both"/>
        <w:rPr>
          <w:rFonts w:ascii="Garamond" w:hAnsi="Garamond"/>
        </w:rPr>
      </w:pPr>
      <w:r w:rsidRPr="00106F1D">
        <w:rPr>
          <w:rFonts w:ascii="Garamond" w:hAnsi="Garamond"/>
          <w:b/>
          <w:bCs/>
        </w:rPr>
        <w:t xml:space="preserve">Modification / </w:t>
      </w:r>
      <w:r w:rsidRPr="00106F1D" w:rsidR="004C7742">
        <w:rPr>
          <w:rFonts w:ascii="Garamond" w:hAnsi="Garamond"/>
          <w:b/>
          <w:bCs/>
        </w:rPr>
        <w:t xml:space="preserve">Duration: </w:t>
      </w:r>
      <w:r w:rsidRPr="00106F1D" w:rsidR="004C7742">
        <w:rPr>
          <w:rFonts w:ascii="Garamond" w:hAnsi="Garamond"/>
        </w:rPr>
        <w:t>A temporary order shall continue in full force and effect until the earlier of its amendment or vacation, dismissal of the main action or entry of a final decree of dissolution or legal separation.</w:t>
      </w:r>
      <w:r w:rsidRPr="00106F1D">
        <w:rPr>
          <w:rFonts w:ascii="Garamond" w:hAnsi="Garamond"/>
        </w:rPr>
        <w:t xml:space="preserve"> </w:t>
      </w:r>
      <w:r w:rsidRPr="00106F1D" w:rsidR="00FB7881">
        <w:rPr>
          <w:rFonts w:ascii="Garamond" w:hAnsi="Garamond"/>
        </w:rPr>
        <w:t xml:space="preserve"> A temporary order m</w:t>
      </w:r>
      <w:r w:rsidRPr="00106F1D">
        <w:rPr>
          <w:rFonts w:ascii="Garamond" w:hAnsi="Garamond"/>
        </w:rPr>
        <w:t>ay be revoked or modified by the court before the final disposition of the proceeding upon the same grounds and subject to the same requirements as the initial granting of the order.</w:t>
      </w:r>
    </w:p>
    <w:p w:rsidR="00915239" w:rsidP="0096541D" w:rsidRDefault="00915239" w14:paraId="32D563E0" w14:textId="34EE4734">
      <w:pPr>
        <w:spacing w:after="240" w:line="240" w:lineRule="auto"/>
        <w:jc w:val="both"/>
        <w:rPr>
          <w:rFonts w:ascii="Garamond" w:hAnsi="Garamond"/>
          <w:b/>
          <w:bCs/>
        </w:rPr>
      </w:pPr>
      <w:r>
        <w:rPr>
          <w:rFonts w:ascii="Garamond" w:hAnsi="Garamond"/>
          <w:b/>
          <w:bCs/>
        </w:rPr>
        <w:t xml:space="preserve">Oral Testimony: </w:t>
      </w:r>
      <w:r w:rsidRPr="00915239">
        <w:rPr>
          <w:rFonts w:ascii="Garamond" w:hAnsi="Garamond"/>
        </w:rPr>
        <w:t>Minnesota Statutes, section </w:t>
      </w:r>
      <w:hyperlink w:history="1" w:anchor="stat.518.131.8" r:id="rId14">
        <w:r w:rsidRPr="00915239">
          <w:rPr>
            <w:rStyle w:val="Hyperlink"/>
            <w:rFonts w:ascii="Garamond" w:hAnsi="Garamond"/>
          </w:rPr>
          <w:t>518.131, subdivision 8</w:t>
        </w:r>
      </w:hyperlink>
      <w:r w:rsidRPr="00915239">
        <w:rPr>
          <w:rFonts w:ascii="Garamond" w:hAnsi="Garamond"/>
        </w:rPr>
        <w:t>, grants a party the right to present oral testimony upon the filing of a demand either in the initial application for temporary relief or in the response thereto. The party demanding oral testimony should provide a list of the proposed witnesses, the scope of their testimony and an estimate of the required time.</w:t>
      </w:r>
    </w:p>
    <w:p w:rsidR="004C7742" w:rsidP="0096541D" w:rsidRDefault="00536433" w14:paraId="13B1D3A3" w14:textId="06A47028">
      <w:pPr>
        <w:spacing w:after="240" w:line="240" w:lineRule="auto"/>
        <w:jc w:val="both"/>
        <w:rPr>
          <w:rFonts w:ascii="Garamond" w:hAnsi="Garamond"/>
        </w:rPr>
      </w:pPr>
      <w:r w:rsidRPr="00E352EB">
        <w:rPr>
          <w:rFonts w:ascii="Garamond" w:hAnsi="Garamond"/>
          <w:b/>
          <w:bCs/>
        </w:rPr>
        <w:t>Child Testimony:</w:t>
      </w:r>
      <w:r w:rsidRPr="00106F1D">
        <w:rPr>
          <w:rFonts w:ascii="Garamond" w:hAnsi="Garamond"/>
        </w:rPr>
        <w:t xml:space="preserve"> Any motion relating to custody or visitation shall additionally state whether either party desires the court to interview minor children. No child under the age of fourteen years will be allowed to testify without prior written notice to the other party and court approval.</w:t>
      </w:r>
      <w:r w:rsidR="00D502AF">
        <w:rPr>
          <w:rStyle w:val="FootnoteReference"/>
          <w:rFonts w:ascii="Garamond" w:hAnsi="Garamond"/>
        </w:rPr>
        <w:footnoteReference w:id="5"/>
      </w:r>
      <w:r w:rsidRPr="00106F1D" w:rsidR="00292E01">
        <w:rPr>
          <w:rFonts w:ascii="Garamond" w:hAnsi="Garamond"/>
        </w:rPr>
        <w:t xml:space="preserve"> Rule 303.03</w:t>
      </w:r>
      <w:r w:rsidRPr="00106F1D" w:rsidR="004F39C0">
        <w:rPr>
          <w:rFonts w:ascii="Garamond" w:hAnsi="Garamond"/>
        </w:rPr>
        <w:t xml:space="preserve"> (d)(7)</w:t>
      </w:r>
    </w:p>
    <w:p w:rsidRPr="000140B6" w:rsidR="00F36CB9" w:rsidP="00F36CB9" w:rsidRDefault="00F36CB9" w14:paraId="60B79623" w14:textId="0DD7F6BA">
      <w:pPr>
        <w:spacing w:after="240" w:line="240" w:lineRule="auto"/>
        <w:rPr>
          <w:rFonts w:ascii="Garamond" w:hAnsi="Garamond"/>
        </w:rPr>
      </w:pPr>
      <w:r w:rsidRPr="690357AC">
        <w:rPr>
          <w:rFonts w:ascii="Garamond" w:hAnsi="Garamond"/>
          <w:b/>
          <w:bCs/>
        </w:rPr>
        <w:t>Any unique issues by county/magistrate:</w:t>
      </w:r>
      <w:r w:rsidRPr="690357AC">
        <w:rPr>
          <w:rFonts w:ascii="Garamond" w:hAnsi="Garamond"/>
        </w:rPr>
        <w:t xml:space="preserve"> </w:t>
      </w:r>
      <w:r w:rsidRPr="690357AC" w:rsidR="005B09ED">
        <w:rPr>
          <w:rFonts w:ascii="Garamond" w:hAnsi="Garamond"/>
        </w:rPr>
        <w:t>None that aren’t already addressed here.</w:t>
      </w:r>
    </w:p>
    <w:p w:rsidR="2917809A" w:rsidP="690357AC" w:rsidRDefault="2917809A" w14:paraId="29016B68" w14:textId="32A47DAF">
      <w:pPr>
        <w:spacing w:after="240" w:line="240" w:lineRule="auto"/>
        <w:jc w:val="center"/>
        <w:rPr>
          <w:rFonts w:ascii="Garamond" w:hAnsi="Garamond"/>
          <w:b/>
          <w:bCs/>
          <w:sz w:val="28"/>
          <w:szCs w:val="28"/>
          <w:highlight w:val="yellow"/>
          <w:u w:val="single"/>
        </w:rPr>
      </w:pPr>
      <w:r w:rsidRPr="690357AC">
        <w:rPr>
          <w:rFonts w:ascii="Garamond" w:hAnsi="Garamond"/>
          <w:b/>
          <w:bCs/>
          <w:sz w:val="28"/>
          <w:szCs w:val="28"/>
          <w:highlight w:val="yellow"/>
          <w:u w:val="single"/>
        </w:rPr>
        <w:t xml:space="preserve">Priority </w:t>
      </w:r>
      <w:r w:rsidRPr="690357AC" w:rsidR="25FCC458">
        <w:rPr>
          <w:rFonts w:ascii="Garamond" w:hAnsi="Garamond"/>
          <w:b/>
          <w:bCs/>
          <w:sz w:val="28"/>
          <w:szCs w:val="28"/>
          <w:highlight w:val="yellow"/>
          <w:u w:val="single"/>
        </w:rPr>
        <w:t xml:space="preserve">Hearing for </w:t>
      </w:r>
      <w:r w:rsidRPr="690357AC">
        <w:rPr>
          <w:rFonts w:ascii="Garamond" w:hAnsi="Garamond"/>
          <w:b/>
          <w:bCs/>
          <w:sz w:val="28"/>
          <w:szCs w:val="28"/>
          <w:highlight w:val="yellow"/>
          <w:u w:val="single"/>
        </w:rPr>
        <w:t>Temporary Relief</w:t>
      </w:r>
      <w:r w:rsidRPr="690357AC">
        <w:rPr>
          <w:rStyle w:val="FootnoteReference"/>
          <w:rFonts w:ascii="Garamond" w:hAnsi="Garamond"/>
          <w:b/>
          <w:bCs/>
          <w:sz w:val="28"/>
          <w:szCs w:val="28"/>
          <w:highlight w:val="yellow"/>
          <w:u w:val="single"/>
        </w:rPr>
        <w:footnoteReference w:id="6"/>
      </w:r>
    </w:p>
    <w:p w:rsidRPr="00106F1D" w:rsidR="00F36CB9" w:rsidP="690357AC" w:rsidRDefault="79A244D6" w14:paraId="519A8562" w14:textId="47734D71">
      <w:pPr>
        <w:spacing w:after="240" w:line="240" w:lineRule="auto"/>
        <w:rPr>
          <w:rFonts w:ascii="Garamond" w:hAnsi="Garamond"/>
        </w:rPr>
      </w:pPr>
      <w:r w:rsidRPr="690357AC">
        <w:rPr>
          <w:rFonts w:ascii="Garamond" w:hAnsi="Garamond"/>
          <w:b/>
          <w:bCs/>
        </w:rPr>
        <w:t xml:space="preserve">Cases Given Priority for Temporary Relief: </w:t>
      </w:r>
      <w:r w:rsidRPr="690357AC">
        <w:rPr>
          <w:rFonts w:ascii="Garamond" w:hAnsi="Garamond"/>
        </w:rPr>
        <w:t xml:space="preserve">While the proceeding is pending, the court </w:t>
      </w:r>
      <w:r w:rsidRPr="690357AC">
        <w:rPr>
          <w:rFonts w:ascii="Garamond" w:hAnsi="Garamond"/>
          <w:b/>
          <w:bCs/>
          <w:u w:val="single"/>
        </w:rPr>
        <w:t xml:space="preserve">must </w:t>
      </w:r>
      <w:r w:rsidRPr="690357AC">
        <w:rPr>
          <w:rFonts w:ascii="Garamond" w:hAnsi="Garamond"/>
        </w:rPr>
        <w:t xml:space="preserve">give priority to scheduling and holding an expedited hearing for temporary relief when a party </w:t>
      </w:r>
      <w:r w:rsidRPr="690357AC">
        <w:rPr>
          <w:rFonts w:ascii="Garamond" w:hAnsi="Garamond"/>
          <w:b/>
          <w:bCs/>
          <w:u w:val="single"/>
        </w:rPr>
        <w:t>credibly alleges</w:t>
      </w:r>
      <w:r w:rsidRPr="690357AC">
        <w:rPr>
          <w:rFonts w:ascii="Garamond" w:hAnsi="Garamond"/>
        </w:rPr>
        <w:t xml:space="preserve"> that:</w:t>
      </w:r>
    </w:p>
    <w:p w:rsidR="362C7E13" w:rsidP="690357AC" w:rsidRDefault="362C7E13" w14:paraId="513476BF" w14:textId="3FAA4976">
      <w:pPr>
        <w:pStyle w:val="ListParagraph"/>
        <w:numPr>
          <w:ilvl w:val="0"/>
          <w:numId w:val="1"/>
        </w:numPr>
        <w:spacing w:after="240" w:line="240" w:lineRule="auto"/>
        <w:rPr>
          <w:rFonts w:ascii="Garamond" w:hAnsi="Garamond"/>
        </w:rPr>
      </w:pPr>
      <w:r w:rsidRPr="690357AC">
        <w:rPr>
          <w:rFonts w:ascii="Garamond" w:hAnsi="Garamond"/>
        </w:rPr>
        <w:t>A party has been</w:t>
      </w:r>
      <w:r w:rsidRPr="690357AC" w:rsidR="1138DCA5">
        <w:rPr>
          <w:rFonts w:ascii="Garamond" w:hAnsi="Garamond"/>
        </w:rPr>
        <w:t xml:space="preserve"> d</w:t>
      </w:r>
      <w:r w:rsidRPr="690357AC" w:rsidR="79A244D6">
        <w:rPr>
          <w:rFonts w:ascii="Garamond" w:hAnsi="Garamond"/>
        </w:rPr>
        <w:t>enied parenting time for 14 consecutive days or more</w:t>
      </w:r>
      <w:r w:rsidRPr="690357AC" w:rsidR="78D182A0">
        <w:rPr>
          <w:rFonts w:ascii="Garamond" w:hAnsi="Garamond"/>
        </w:rPr>
        <w:t xml:space="preserve"> </w:t>
      </w:r>
      <w:r>
        <w:tab/>
      </w:r>
      <w:r>
        <w:tab/>
      </w:r>
      <w:r w:rsidRPr="690357AC" w:rsidR="78D182A0">
        <w:rPr>
          <w:rFonts w:ascii="Garamond" w:hAnsi="Garamond"/>
          <w:b/>
          <w:bCs/>
          <w:u w:val="single"/>
        </w:rPr>
        <w:t>OR</w:t>
      </w:r>
    </w:p>
    <w:p w:rsidR="543CD47D" w:rsidP="690357AC" w:rsidRDefault="543CD47D" w14:paraId="6D633BA1" w14:textId="369CE0B2">
      <w:pPr>
        <w:pStyle w:val="ListParagraph"/>
        <w:numPr>
          <w:ilvl w:val="0"/>
          <w:numId w:val="1"/>
        </w:numPr>
        <w:spacing w:after="240" w:line="240" w:lineRule="auto"/>
        <w:rPr>
          <w:rFonts w:ascii="Garamond" w:hAnsi="Garamond"/>
        </w:rPr>
      </w:pPr>
      <w:r w:rsidRPr="690357AC">
        <w:rPr>
          <w:rFonts w:ascii="Garamond" w:hAnsi="Garamond"/>
        </w:rPr>
        <w:t xml:space="preserve">A party has been unreasonably denied access to necessary financial resources or </w:t>
      </w:r>
      <w:r w:rsidRPr="690357AC" w:rsidR="00B52710">
        <w:rPr>
          <w:rFonts w:ascii="Garamond" w:hAnsi="Garamond"/>
        </w:rPr>
        <w:t>support</w:t>
      </w:r>
      <w:r w:rsidRPr="690357AC">
        <w:rPr>
          <w:rFonts w:ascii="Garamond" w:hAnsi="Garamond"/>
        </w:rPr>
        <w:t xml:space="preserve"> during a pending divorce</w:t>
      </w:r>
    </w:p>
    <w:p w:rsidR="2679F021" w:rsidP="690357AC" w:rsidRDefault="2679F021" w14:paraId="2DAB123D" w14:textId="1446C300">
      <w:pPr>
        <w:spacing w:after="240" w:line="240" w:lineRule="auto"/>
        <w:rPr>
          <w:rFonts w:ascii="Garamond" w:hAnsi="Garamond"/>
        </w:rPr>
      </w:pPr>
      <w:r w:rsidRPr="690357AC">
        <w:rPr>
          <w:rFonts w:ascii="Garamond" w:hAnsi="Garamond"/>
          <w:b/>
          <w:bCs/>
        </w:rPr>
        <w:t>Timeline for Hearing:</w:t>
      </w:r>
      <w:r w:rsidRPr="690357AC">
        <w:rPr>
          <w:rFonts w:ascii="Garamond" w:hAnsi="Garamond"/>
        </w:rPr>
        <w:t xml:space="preserve"> Court must hold priority hearing within 30 days of the “party’s request”</w:t>
      </w:r>
    </w:p>
    <w:p w:rsidR="2679F021" w:rsidP="690357AC" w:rsidRDefault="2679F021" w14:paraId="06D9D557" w14:textId="7B509523">
      <w:pPr>
        <w:spacing w:after="240" w:line="240" w:lineRule="auto"/>
        <w:rPr>
          <w:rFonts w:ascii="Garamond" w:hAnsi="Garamond"/>
        </w:rPr>
      </w:pPr>
      <w:r w:rsidRPr="690357AC">
        <w:rPr>
          <w:rFonts w:ascii="Garamond" w:hAnsi="Garamond"/>
          <w:b/>
          <w:bCs/>
        </w:rPr>
        <w:t>Considerations for Denied Parenting Time:</w:t>
      </w:r>
      <w:r w:rsidRPr="690357AC">
        <w:rPr>
          <w:rFonts w:ascii="Garamond" w:hAnsi="Garamond"/>
        </w:rPr>
        <w:t xml:space="preserve"> Court must consider credible allegations of DV, substance abuse, maltreatment findings, or neglect as a reasonable basis for a party who has denied parenting time to the other party</w:t>
      </w:r>
      <w:r w:rsidRPr="690357AC" w:rsidR="7802B45E">
        <w:rPr>
          <w:rFonts w:ascii="Garamond" w:hAnsi="Garamond"/>
        </w:rPr>
        <w:t>.</w:t>
      </w:r>
    </w:p>
    <w:p w:rsidR="7802B45E" w:rsidP="690357AC" w:rsidRDefault="7802B45E" w14:paraId="340DCB28" w14:textId="7A7E5E80">
      <w:pPr>
        <w:spacing w:after="240" w:line="240" w:lineRule="auto"/>
        <w:rPr>
          <w:rFonts w:ascii="Garamond" w:hAnsi="Garamond"/>
        </w:rPr>
      </w:pPr>
      <w:r w:rsidRPr="690357AC">
        <w:rPr>
          <w:rFonts w:ascii="Garamond" w:hAnsi="Garamond"/>
          <w:b/>
          <w:bCs/>
        </w:rPr>
        <w:t>Other issues that can be addressed at a priority hearing:</w:t>
      </w:r>
      <w:r w:rsidRPr="690357AC">
        <w:rPr>
          <w:rFonts w:ascii="Garamond" w:hAnsi="Garamond"/>
        </w:rPr>
        <w:t xml:space="preserve"> If temp parenting time is ordered, temp CS may be ordered</w:t>
      </w:r>
      <w:r w:rsidR="00EC76B6">
        <w:rPr>
          <w:rFonts w:ascii="Garamond" w:hAnsi="Garamond"/>
        </w:rPr>
        <w:t>.</w:t>
      </w:r>
    </w:p>
    <w:p w:rsidR="661D5CA7" w:rsidP="690357AC" w:rsidRDefault="661D5CA7" w14:paraId="2DC4FC81" w14:textId="4BAF2DF2">
      <w:pPr>
        <w:spacing w:after="240" w:line="240" w:lineRule="auto"/>
        <w:rPr>
          <w:rFonts w:ascii="Garamond" w:hAnsi="Garamond"/>
        </w:rPr>
      </w:pPr>
      <w:r w:rsidRPr="690357AC">
        <w:rPr>
          <w:rFonts w:ascii="Garamond" w:hAnsi="Garamond"/>
          <w:b/>
          <w:bCs/>
        </w:rPr>
        <w:t>Scheduling Priority Hearing</w:t>
      </w:r>
      <w:r w:rsidRPr="690357AC" w:rsidR="2D04CA89">
        <w:rPr>
          <w:rFonts w:ascii="Garamond" w:hAnsi="Garamond"/>
          <w:b/>
          <w:bCs/>
        </w:rPr>
        <w:t>:</w:t>
      </w:r>
      <w:r w:rsidRPr="690357AC" w:rsidR="2D04CA89">
        <w:rPr>
          <w:rFonts w:ascii="Garamond" w:hAnsi="Garamond"/>
        </w:rPr>
        <w:t xml:space="preserve"> This seems to differ by Judge/County. Some</w:t>
      </w:r>
      <w:r w:rsidRPr="690357AC" w:rsidR="500054F2">
        <w:rPr>
          <w:rFonts w:ascii="Garamond" w:hAnsi="Garamond"/>
        </w:rPr>
        <w:t xml:space="preserve">times </w:t>
      </w:r>
      <w:r w:rsidRPr="690357AC" w:rsidR="2D04CA89">
        <w:rPr>
          <w:rFonts w:ascii="Garamond" w:hAnsi="Garamond"/>
        </w:rPr>
        <w:t>you can call/email the Court and request the priority hearing (reference the statute) an</w:t>
      </w:r>
      <w:r w:rsidRPr="690357AC" w:rsidR="033C434B">
        <w:rPr>
          <w:rFonts w:ascii="Garamond" w:hAnsi="Garamond"/>
        </w:rPr>
        <w:t xml:space="preserve">d they will give you a court date. Other times, the Court may require that you file your motion/aff docs first and then they’ll give you a priority hearing. </w:t>
      </w:r>
    </w:p>
    <w:p w:rsidR="4A01FCBF" w:rsidP="690357AC" w:rsidRDefault="4A01FCBF" w14:paraId="408FFEA3" w14:textId="54AFDC2F">
      <w:pPr>
        <w:spacing w:after="240" w:line="240" w:lineRule="auto"/>
        <w:rPr>
          <w:rFonts w:ascii="Garamond" w:hAnsi="Garamond"/>
        </w:rPr>
      </w:pPr>
      <w:r w:rsidRPr="690357AC">
        <w:rPr>
          <w:rFonts w:ascii="Garamond" w:hAnsi="Garamond"/>
          <w:b/>
          <w:bCs/>
        </w:rPr>
        <w:t xml:space="preserve">Timelines and Required Documents: </w:t>
      </w:r>
      <w:r w:rsidRPr="690357AC">
        <w:rPr>
          <w:rFonts w:ascii="Garamond" w:hAnsi="Garamond"/>
        </w:rPr>
        <w:t>Nothing in statute/rules indicates that there are any different requirements for</w:t>
      </w:r>
      <w:r w:rsidRPr="690357AC" w:rsidR="570067EB">
        <w:rPr>
          <w:rFonts w:ascii="Garamond" w:hAnsi="Garamond"/>
        </w:rPr>
        <w:t xml:space="preserve"> timelines/documents, so all the regular timelines/requirements for motions should be followed. </w:t>
      </w:r>
      <w:r w:rsidRPr="690357AC">
        <w:rPr>
          <w:rFonts w:ascii="Garamond" w:hAnsi="Garamond"/>
        </w:rPr>
        <w:t xml:space="preserve"> </w:t>
      </w:r>
    </w:p>
    <w:sectPr w:rsidR="4A01FCBF" w:rsidSect="0008327D">
      <w:pgSz w:w="12240" w:h="15840" w:orient="portrait"/>
      <w:pgMar w:top="720" w:right="720" w:bottom="720" w:left="720" w:header="720" w:footer="720" w:gutter="0"/>
      <w:cols w:space="720"/>
      <w:docGrid w:linePitch="360"/>
    </w:sectPr>
  </w:body>
</w:document>
</file>

<file path=word/commentsExtended.xml><?xml version="1.0" encoding="utf-8"?>
<w15:commentsEx xmlns:mc="http://schemas.openxmlformats.org/markup-compatibility/2006" xmlns:w15="http://schemas.microsoft.com/office/word/2012/wordml" mc:Ignorable="w15"/>
</file>

<file path=word/commentsIds.xml><?xml version="1.0" encoding="utf-8"?>
<w16cid:commentsIds xmlns:mc="http://schemas.openxmlformats.org/markup-compatibility/2006" xmlns:w16cid="http://schemas.microsoft.com/office/word/2016/wordml/cid" mc:Ignorable="w16cid"/>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126DB0" w:rsidP="007A5691" w:rsidRDefault="00126DB0" w14:paraId="230CF6FB" w14:textId="77777777">
      <w:pPr>
        <w:spacing w:after="0" w:line="240" w:lineRule="auto"/>
      </w:pPr>
      <w:r>
        <w:separator/>
      </w:r>
    </w:p>
  </w:endnote>
  <w:endnote w:type="continuationSeparator" w:id="0">
    <w:p w:rsidR="00126DB0" w:rsidP="007A5691" w:rsidRDefault="00126DB0" w14:paraId="161B0F6E" w14:textId="7777777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panose1 w:val="00000000000000000000"/>
    <w:charset w:val="00"/>
    <w:family w:val="roman"/>
    <w:notTrueType/>
    <w:pitch w:val="default"/>
  </w:font>
  <w:font w:name="Arial">
    <w:panose1 w:val="020B0604020202020204"/>
    <w:charset w:val="00"/>
    <w:family w:val="swiss"/>
    <w:pitch w:val="variable"/>
    <w:sig w:usb0="E0002EFF" w:usb1="C000785B" w:usb2="00000009" w:usb3="00000000" w:csb0="000001FF" w:csb1="00000000"/>
  </w:font>
  <w:font w:name="Aptos Display">
    <w:panose1 w:val="00000000000000000000"/>
    <w:charset w:val="00"/>
    <w:family w:val="roman"/>
    <w:notTrueType/>
    <w:pitch w:val="default"/>
  </w:font>
  <w:font w:name="Yu Gothic Light">
    <w:altName w:val="游ゴシック Light"/>
    <w:panose1 w:val="020B0300000000000000"/>
    <w:charset w:val="80"/>
    <w:family w:val="swiss"/>
    <w:pitch w:val="variable"/>
    <w:sig w:usb0="E00002FF" w:usb1="2AC7FDFF" w:usb2="00000016" w:usb3="00000000" w:csb0="0002009F" w:csb1="00000000"/>
  </w:font>
  <w:font w:name="Garamond">
    <w:altName w:val="Cambria"/>
    <w:charset w:val="00"/>
    <w:family w:val="roman"/>
    <w:pitch w:val="variable"/>
    <w:sig w:usb0="00000287" w:usb1="00000000" w:usb2="00000000" w:usb3="00000000" w:csb0="0000009F" w:csb1="00000000"/>
  </w:font>
  <w:font w:name="Yu Mincho">
    <w:altName w:val="游明朝"/>
    <w:panose1 w:val="00000000000000000000"/>
    <w:charset w:val="80"/>
    <w:family w:val="roman"/>
    <w:notTrueType/>
    <w:pitch w:val="default"/>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126DB0" w:rsidP="007A5691" w:rsidRDefault="00126DB0" w14:paraId="4076F4B3" w14:textId="77777777">
      <w:pPr>
        <w:spacing w:after="0" w:line="240" w:lineRule="auto"/>
      </w:pPr>
      <w:r>
        <w:separator/>
      </w:r>
    </w:p>
  </w:footnote>
  <w:footnote w:type="continuationSeparator" w:id="0">
    <w:p w:rsidR="00126DB0" w:rsidP="007A5691" w:rsidRDefault="00126DB0" w14:paraId="55648071" w14:textId="77777777">
      <w:pPr>
        <w:spacing w:after="0" w:line="240" w:lineRule="auto"/>
      </w:pPr>
      <w:r>
        <w:continuationSeparator/>
      </w:r>
    </w:p>
  </w:footnote>
  <w:footnote w:id="1">
    <w:p w:rsidR="00CC6BCF" w:rsidP="00CF57F2" w:rsidRDefault="00CC6BCF" w14:paraId="6C226AF8" w14:textId="77777777">
      <w:pPr>
        <w:pStyle w:val="FootnoteText"/>
      </w:pPr>
    </w:p>
  </w:footnote>
  <w:footnote w:id="2">
    <w:p w:rsidR="00873005" w:rsidRDefault="00873005" w14:paraId="4EE0ADC8" w14:textId="5649C9D2">
      <w:pPr>
        <w:pStyle w:val="FootnoteText"/>
      </w:pPr>
      <w:r w:rsidRPr="00114448">
        <w:rPr>
          <w:rStyle w:val="FootnoteReference"/>
          <w:b/>
          <w:bCs/>
        </w:rPr>
        <w:footnoteRef/>
      </w:r>
      <w:r>
        <w:t xml:space="preserve"> </w:t>
      </w:r>
      <w:r w:rsidRPr="00114448" w:rsidR="00114448">
        <w:rPr>
          <w:rFonts w:ascii="Garamond" w:hAnsi="Garamond"/>
          <w:sz w:val="18"/>
          <w:szCs w:val="18"/>
        </w:rPr>
        <w:t>518.131 Subd. 8.</w:t>
      </w:r>
    </w:p>
  </w:footnote>
  <w:footnote w:id="3">
    <w:p w:rsidR="005B627E" w:rsidP="005B627E" w:rsidRDefault="005B627E" w14:paraId="392F8A5D" w14:textId="77777777">
      <w:pPr>
        <w:pStyle w:val="NormalWeb"/>
        <w:shd w:val="clear" w:color="auto" w:fill="FFFFFF"/>
        <w:spacing w:before="48" w:beforeAutospacing="0" w:after="120" w:afterAutospacing="0"/>
      </w:pPr>
      <w:r w:rsidRPr="00DD3651">
        <w:rPr>
          <w:rStyle w:val="FootnoteReference"/>
          <w:rFonts w:ascii="Garamond" w:hAnsi="Garamond"/>
          <w:b/>
          <w:bCs/>
          <w:sz w:val="20"/>
          <w:szCs w:val="20"/>
        </w:rPr>
        <w:footnoteRef/>
      </w:r>
      <w:r w:rsidRPr="005B627E">
        <w:rPr>
          <w:rFonts w:ascii="Garamond" w:hAnsi="Garamond"/>
          <w:sz w:val="18"/>
          <w:szCs w:val="18"/>
        </w:rPr>
        <w:t xml:space="preserve"> In practice, this requirement does not seem to be followed in most counties. Have seen it in Olmsted and also Dakota, but not generally in 5th district.</w:t>
      </w:r>
      <w:r>
        <w:t xml:space="preserve"> </w:t>
      </w:r>
    </w:p>
  </w:footnote>
  <w:footnote w:id="4">
    <w:p w:rsidR="00485423" w:rsidP="009E1AFD" w:rsidRDefault="009E1AFD" w14:paraId="360A3D7E" w14:textId="77777777">
      <w:pPr>
        <w:pStyle w:val="FootnoteText"/>
      </w:pPr>
      <w:r w:rsidRPr="00DD3651">
        <w:rPr>
          <w:rStyle w:val="FootnoteReference"/>
          <w:b/>
          <w:bCs/>
        </w:rPr>
        <w:footnoteRef/>
      </w:r>
      <w:r w:rsidRPr="00DD3651">
        <w:rPr>
          <w:b/>
          <w:bCs/>
        </w:rPr>
        <w:t xml:space="preserve"> </w:t>
      </w:r>
      <w:r w:rsidRPr="00CD2EB3">
        <w:rPr>
          <w:rFonts w:ascii="Garamond" w:hAnsi="Garamond"/>
          <w:sz w:val="18"/>
          <w:szCs w:val="18"/>
        </w:rPr>
        <w:t>In practice, it is not incredibly common for MOLs to be filed with temporary relief motions. If you have an issue that is very legal / case law heavy, then it may be worthwhile.</w:t>
      </w:r>
      <w:r>
        <w:t xml:space="preserve"> </w:t>
      </w:r>
    </w:p>
  </w:footnote>
  <w:footnote w:id="5">
    <w:p w:rsidR="00D502AF" w:rsidRDefault="00D502AF" w14:paraId="6D6F6886" w14:textId="73B86C45">
      <w:pPr>
        <w:pStyle w:val="FootnoteText"/>
      </w:pPr>
      <w:r w:rsidRPr="00D502AF">
        <w:rPr>
          <w:rStyle w:val="FootnoteReference"/>
          <w:b/>
          <w:bCs/>
        </w:rPr>
        <w:footnoteRef/>
      </w:r>
      <w:r w:rsidRPr="00D502AF">
        <w:rPr>
          <w:b/>
          <w:bCs/>
        </w:rPr>
        <w:t xml:space="preserve"> </w:t>
      </w:r>
      <w:r w:rsidRPr="006A178E">
        <w:rPr>
          <w:rFonts w:ascii="Garamond" w:hAnsi="Garamond"/>
          <w:sz w:val="18"/>
          <w:szCs w:val="18"/>
        </w:rPr>
        <w:t>I don’t think this is common</w:t>
      </w:r>
      <w:r>
        <w:rPr>
          <w:rFonts w:ascii="Garamond" w:hAnsi="Garamond"/>
          <w:sz w:val="18"/>
          <w:szCs w:val="18"/>
        </w:rPr>
        <w:t xml:space="preserve"> in practice</w:t>
      </w:r>
      <w:r w:rsidRPr="006A178E">
        <w:rPr>
          <w:rFonts w:ascii="Garamond" w:hAnsi="Garamond"/>
          <w:sz w:val="18"/>
          <w:szCs w:val="18"/>
        </w:rPr>
        <w:t>; never seen it before.</w:t>
      </w:r>
    </w:p>
  </w:footnote>
  <w:footnote w:id="6">
    <w:p w:rsidR="690357AC" w:rsidP="690357AC" w:rsidRDefault="690357AC" w14:paraId="3F5387C7" w14:textId="7F36FA1E">
      <w:pPr>
        <w:pStyle w:val="FootnoteText"/>
      </w:pPr>
      <w:r w:rsidRPr="690357AC">
        <w:rPr>
          <w:rStyle w:val="FootnoteReference"/>
        </w:rPr>
        <w:footnoteRef/>
      </w:r>
      <w:r>
        <w:t xml:space="preserve"> </w:t>
      </w:r>
      <w:r w:rsidRPr="00076D60">
        <w:rPr>
          <w:rFonts w:ascii="Garamond" w:hAnsi="Garamond"/>
          <w:sz w:val="18"/>
          <w:szCs w:val="18"/>
        </w:rPr>
        <w:t>Minn. Stat. § 518.131, subd. 11</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8E618C"/>
    <w:multiLevelType w:val="multilevel"/>
    <w:tmpl w:val="27A2FD4E"/>
    <w:lvl w:ilvl="0">
      <w:start w:val="1"/>
      <w:numFmt w:val="bullet"/>
      <w:lvlText w:val=""/>
      <w:lvlJc w:val="left"/>
      <w:pPr>
        <w:tabs>
          <w:tab w:val="num" w:pos="720"/>
        </w:tabs>
        <w:ind w:left="720" w:hanging="360"/>
      </w:pPr>
      <w:rPr>
        <w:rFonts w:hint="default" w:ascii="Symbol" w:hAnsi="Symbol"/>
        <w:sz w:val="20"/>
      </w:rPr>
    </w:lvl>
    <w:lvl w:ilvl="1">
      <w:start w:val="1"/>
      <w:numFmt w:val="bullet"/>
      <w:lvlText w:val=""/>
      <w:lvlJc w:val="left"/>
      <w:pPr>
        <w:tabs>
          <w:tab w:val="num" w:pos="1440"/>
        </w:tabs>
        <w:ind w:left="1440" w:hanging="360"/>
      </w:pPr>
      <w:rPr>
        <w:rFonts w:hint="default" w:ascii="Symbol" w:hAnsi="Symbol"/>
        <w:sz w:val="20"/>
      </w:rPr>
    </w:lvl>
    <w:lvl w:ilvl="2">
      <w:start w:val="1"/>
      <w:numFmt w:val="bullet"/>
      <w:lvlText w:val=""/>
      <w:lvlJc w:val="left"/>
      <w:pPr>
        <w:tabs>
          <w:tab w:val="num" w:pos="2160"/>
        </w:tabs>
        <w:ind w:left="2160" w:hanging="360"/>
      </w:pPr>
      <w:rPr>
        <w:rFonts w:hint="default" w:ascii="Symbol" w:hAnsi="Symbol"/>
        <w:sz w:val="20"/>
      </w:rPr>
    </w:lvl>
    <w:lvl w:ilvl="3">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1" w15:restartNumberingAfterBreak="0">
    <w:nsid w:val="0A76068F"/>
    <w:multiLevelType w:val="hybridMultilevel"/>
    <w:tmpl w:val="A072DCC2"/>
    <w:lvl w:ilvl="0" w:tplc="93C8D61A">
      <w:start w:val="1"/>
      <w:numFmt w:val="bullet"/>
      <w:lvlText w:val=""/>
      <w:lvlJc w:val="left"/>
      <w:pPr>
        <w:ind w:left="720" w:hanging="360"/>
      </w:pPr>
      <w:rPr>
        <w:rFonts w:hint="default" w:ascii="Symbol" w:hAnsi="Symbol"/>
      </w:rPr>
    </w:lvl>
    <w:lvl w:ilvl="1" w:tplc="648E067E">
      <w:start w:val="1"/>
      <w:numFmt w:val="bullet"/>
      <w:lvlText w:val="o"/>
      <w:lvlJc w:val="left"/>
      <w:pPr>
        <w:ind w:left="1440" w:hanging="360"/>
      </w:pPr>
      <w:rPr>
        <w:rFonts w:hint="default" w:ascii="Courier New" w:hAnsi="Courier New"/>
      </w:rPr>
    </w:lvl>
    <w:lvl w:ilvl="2" w:tplc="8C227978">
      <w:start w:val="1"/>
      <w:numFmt w:val="bullet"/>
      <w:lvlText w:val=""/>
      <w:lvlJc w:val="left"/>
      <w:pPr>
        <w:ind w:left="2160" w:hanging="360"/>
      </w:pPr>
      <w:rPr>
        <w:rFonts w:hint="default" w:ascii="Wingdings" w:hAnsi="Wingdings"/>
      </w:rPr>
    </w:lvl>
    <w:lvl w:ilvl="3" w:tplc="5388F64E">
      <w:start w:val="1"/>
      <w:numFmt w:val="bullet"/>
      <w:lvlText w:val=""/>
      <w:lvlJc w:val="left"/>
      <w:pPr>
        <w:ind w:left="2880" w:hanging="360"/>
      </w:pPr>
      <w:rPr>
        <w:rFonts w:hint="default" w:ascii="Symbol" w:hAnsi="Symbol"/>
      </w:rPr>
    </w:lvl>
    <w:lvl w:ilvl="4" w:tplc="D3EED08A">
      <w:start w:val="1"/>
      <w:numFmt w:val="bullet"/>
      <w:lvlText w:val="o"/>
      <w:lvlJc w:val="left"/>
      <w:pPr>
        <w:ind w:left="3600" w:hanging="360"/>
      </w:pPr>
      <w:rPr>
        <w:rFonts w:hint="default" w:ascii="Courier New" w:hAnsi="Courier New"/>
      </w:rPr>
    </w:lvl>
    <w:lvl w:ilvl="5" w:tplc="DCFC3126">
      <w:start w:val="1"/>
      <w:numFmt w:val="bullet"/>
      <w:lvlText w:val=""/>
      <w:lvlJc w:val="left"/>
      <w:pPr>
        <w:ind w:left="4320" w:hanging="360"/>
      </w:pPr>
      <w:rPr>
        <w:rFonts w:hint="default" w:ascii="Wingdings" w:hAnsi="Wingdings"/>
      </w:rPr>
    </w:lvl>
    <w:lvl w:ilvl="6" w:tplc="E6527FA4">
      <w:start w:val="1"/>
      <w:numFmt w:val="bullet"/>
      <w:lvlText w:val=""/>
      <w:lvlJc w:val="left"/>
      <w:pPr>
        <w:ind w:left="5040" w:hanging="360"/>
      </w:pPr>
      <w:rPr>
        <w:rFonts w:hint="default" w:ascii="Symbol" w:hAnsi="Symbol"/>
      </w:rPr>
    </w:lvl>
    <w:lvl w:ilvl="7" w:tplc="1D4AE1BA">
      <w:start w:val="1"/>
      <w:numFmt w:val="bullet"/>
      <w:lvlText w:val="o"/>
      <w:lvlJc w:val="left"/>
      <w:pPr>
        <w:ind w:left="5760" w:hanging="360"/>
      </w:pPr>
      <w:rPr>
        <w:rFonts w:hint="default" w:ascii="Courier New" w:hAnsi="Courier New"/>
      </w:rPr>
    </w:lvl>
    <w:lvl w:ilvl="8" w:tplc="2F2C2CBA">
      <w:start w:val="1"/>
      <w:numFmt w:val="bullet"/>
      <w:lvlText w:val=""/>
      <w:lvlJc w:val="left"/>
      <w:pPr>
        <w:ind w:left="6480" w:hanging="360"/>
      </w:pPr>
      <w:rPr>
        <w:rFonts w:hint="default" w:ascii="Wingdings" w:hAnsi="Wingdings"/>
      </w:rPr>
    </w:lvl>
  </w:abstractNum>
  <w:abstractNum w:abstractNumId="2" w15:restartNumberingAfterBreak="0">
    <w:nsid w:val="1C070129"/>
    <w:multiLevelType w:val="hybridMultilevel"/>
    <w:tmpl w:val="61A0A580"/>
    <w:lvl w:ilvl="0" w:tplc="04090001">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3" w15:restartNumberingAfterBreak="0">
    <w:nsid w:val="36E30F30"/>
    <w:multiLevelType w:val="hybridMultilevel"/>
    <w:tmpl w:val="C6A65728"/>
    <w:lvl w:ilvl="0" w:tplc="EE783B80">
      <w:start w:val="1"/>
      <w:numFmt w:val="decimal"/>
      <w:lvlText w:val="%1."/>
      <w:lvlJc w:val="left"/>
      <w:pPr>
        <w:ind w:left="720" w:hanging="360"/>
      </w:pPr>
    </w:lvl>
    <w:lvl w:ilvl="1" w:tplc="2C8A2D7C">
      <w:start w:val="1"/>
      <w:numFmt w:val="lowerLetter"/>
      <w:lvlText w:val="%2."/>
      <w:lvlJc w:val="left"/>
      <w:pPr>
        <w:ind w:left="1440" w:hanging="360"/>
      </w:pPr>
    </w:lvl>
    <w:lvl w:ilvl="2" w:tplc="7BF00BF4">
      <w:start w:val="1"/>
      <w:numFmt w:val="lowerRoman"/>
      <w:lvlText w:val="%3."/>
      <w:lvlJc w:val="right"/>
      <w:pPr>
        <w:ind w:left="2160" w:hanging="180"/>
      </w:pPr>
    </w:lvl>
    <w:lvl w:ilvl="3" w:tplc="DB501E9E">
      <w:start w:val="1"/>
      <w:numFmt w:val="decimal"/>
      <w:lvlText w:val="%4."/>
      <w:lvlJc w:val="left"/>
      <w:pPr>
        <w:ind w:left="2880" w:hanging="360"/>
      </w:pPr>
    </w:lvl>
    <w:lvl w:ilvl="4" w:tplc="F474A350">
      <w:start w:val="1"/>
      <w:numFmt w:val="lowerLetter"/>
      <w:lvlText w:val="%5."/>
      <w:lvlJc w:val="left"/>
      <w:pPr>
        <w:ind w:left="3600" w:hanging="360"/>
      </w:pPr>
    </w:lvl>
    <w:lvl w:ilvl="5" w:tplc="A56217EA">
      <w:start w:val="1"/>
      <w:numFmt w:val="lowerRoman"/>
      <w:lvlText w:val="%6."/>
      <w:lvlJc w:val="right"/>
      <w:pPr>
        <w:ind w:left="4320" w:hanging="180"/>
      </w:pPr>
    </w:lvl>
    <w:lvl w:ilvl="6" w:tplc="D03E4F50">
      <w:start w:val="1"/>
      <w:numFmt w:val="decimal"/>
      <w:lvlText w:val="%7."/>
      <w:lvlJc w:val="left"/>
      <w:pPr>
        <w:ind w:left="5040" w:hanging="360"/>
      </w:pPr>
    </w:lvl>
    <w:lvl w:ilvl="7" w:tplc="08B67D18">
      <w:start w:val="1"/>
      <w:numFmt w:val="lowerLetter"/>
      <w:lvlText w:val="%8."/>
      <w:lvlJc w:val="left"/>
      <w:pPr>
        <w:ind w:left="5760" w:hanging="360"/>
      </w:pPr>
    </w:lvl>
    <w:lvl w:ilvl="8" w:tplc="6DACB8AA">
      <w:start w:val="1"/>
      <w:numFmt w:val="lowerRoman"/>
      <w:lvlText w:val="%9."/>
      <w:lvlJc w:val="right"/>
      <w:pPr>
        <w:ind w:left="6480" w:hanging="180"/>
      </w:pPr>
    </w:lvl>
  </w:abstractNum>
  <w:abstractNum w:abstractNumId="4" w15:restartNumberingAfterBreak="0">
    <w:nsid w:val="457A095F"/>
    <w:multiLevelType w:val="hybridMultilevel"/>
    <w:tmpl w:val="C63EE5A2"/>
    <w:lvl w:ilvl="0" w:tplc="04090001">
      <w:start w:val="1"/>
      <w:numFmt w:val="bullet"/>
      <w:lvlText w:val=""/>
      <w:lvlJc w:val="left"/>
      <w:pPr>
        <w:ind w:left="720" w:hanging="360"/>
      </w:pPr>
      <w:rPr>
        <w:rFonts w:hint="default" w:ascii="Symbol" w:hAnsi="Symbol"/>
      </w:rPr>
    </w:lvl>
    <w:lvl w:ilvl="1" w:tplc="04090003">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5" w15:restartNumberingAfterBreak="0">
    <w:nsid w:val="61B94414"/>
    <w:multiLevelType w:val="multilevel"/>
    <w:tmpl w:val="E9285B74"/>
    <w:lvl w:ilvl="0">
      <w:start w:val="1"/>
      <w:numFmt w:val="bullet"/>
      <w:lvlText w:val=""/>
      <w:lvlJc w:val="left"/>
      <w:pPr>
        <w:tabs>
          <w:tab w:val="num" w:pos="720"/>
        </w:tabs>
        <w:ind w:left="720" w:hanging="360"/>
      </w:pPr>
      <w:rPr>
        <w:rFonts w:hint="default" w:ascii="Symbol" w:hAnsi="Symbol"/>
        <w:sz w:val="20"/>
      </w:rPr>
    </w:lvl>
    <w:lvl w:ilvl="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6" w15:restartNumberingAfterBreak="0">
    <w:nsid w:val="702D4503"/>
    <w:multiLevelType w:val="multilevel"/>
    <w:tmpl w:val="B2A04EBC"/>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7" w15:restartNumberingAfterBreak="0">
    <w:nsid w:val="74397BD3"/>
    <w:multiLevelType w:val="hybridMultilevel"/>
    <w:tmpl w:val="8398D83C"/>
    <w:lvl w:ilvl="0" w:tplc="04090001">
      <w:start w:val="1"/>
      <w:numFmt w:val="bullet"/>
      <w:lvlText w:val=""/>
      <w:lvlJc w:val="left"/>
      <w:pPr>
        <w:ind w:left="720" w:hanging="360"/>
      </w:pPr>
      <w:rPr>
        <w:rFonts w:hint="default" w:ascii="Symbol" w:hAnsi="Symbol"/>
      </w:rPr>
    </w:lvl>
    <w:lvl w:ilvl="1" w:tplc="04090003">
      <w:start w:val="1"/>
      <w:numFmt w:val="bullet"/>
      <w:lvlText w:val="o"/>
      <w:lvlJc w:val="left"/>
      <w:pPr>
        <w:ind w:left="1440" w:hanging="360"/>
      </w:pPr>
      <w:rPr>
        <w:rFonts w:hint="default" w:ascii="Courier New" w:hAnsi="Courier New" w:cs="Courier New"/>
      </w:rPr>
    </w:lvl>
    <w:lvl w:ilvl="2" w:tplc="04322C0C">
      <w:numFmt w:val="bullet"/>
      <w:lvlText w:val="•"/>
      <w:lvlJc w:val="left"/>
      <w:pPr>
        <w:ind w:left="2160" w:hanging="360"/>
      </w:pPr>
      <w:rPr>
        <w:rFonts w:hint="default" w:ascii="Aptos" w:hAnsi="Aptos" w:eastAsiaTheme="minorHAnsi" w:cstheme="minorBidi"/>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num w:numId="1" w16cid:durableId="966157593">
    <w:abstractNumId w:val="3"/>
  </w:num>
  <w:num w:numId="2" w16cid:durableId="1491944743">
    <w:abstractNumId w:val="1"/>
  </w:num>
  <w:num w:numId="3" w16cid:durableId="23407514">
    <w:abstractNumId w:val="5"/>
  </w:num>
  <w:num w:numId="4" w16cid:durableId="116727779">
    <w:abstractNumId w:val="7"/>
  </w:num>
  <w:num w:numId="5" w16cid:durableId="753938379">
    <w:abstractNumId w:val="0"/>
  </w:num>
  <w:num w:numId="6" w16cid:durableId="243993438">
    <w:abstractNumId w:val="4"/>
  </w:num>
  <w:num w:numId="7" w16cid:durableId="2009941813">
    <w:abstractNumId w:val="6"/>
  </w:num>
  <w:num w:numId="8" w16cid:durableId="825165194">
    <w:abstractNumId w:val="2"/>
  </w:num>
</w:numbering>
</file>

<file path=word/people.xml><?xml version="1.0" encoding="utf-8"?>
<w15:people xmlns:mc="http://schemas.openxmlformats.org/markup-compatibility/2006" xmlns:w15="http://schemas.microsoft.com/office/word/2012/wordml" mc:Ignorable="w15"/>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trackRevisions w:val="false"/>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C7742"/>
    <w:rsid w:val="00004B56"/>
    <w:rsid w:val="00035230"/>
    <w:rsid w:val="000368C9"/>
    <w:rsid w:val="00046007"/>
    <w:rsid w:val="0006263A"/>
    <w:rsid w:val="00074A88"/>
    <w:rsid w:val="00076D60"/>
    <w:rsid w:val="0008327D"/>
    <w:rsid w:val="00095BD2"/>
    <w:rsid w:val="000C1969"/>
    <w:rsid w:val="000D3580"/>
    <w:rsid w:val="000D63A1"/>
    <w:rsid w:val="00106F1D"/>
    <w:rsid w:val="00114448"/>
    <w:rsid w:val="00126DB0"/>
    <w:rsid w:val="00177B16"/>
    <w:rsid w:val="001A5F90"/>
    <w:rsid w:val="001B3B21"/>
    <w:rsid w:val="001C3990"/>
    <w:rsid w:val="001D3050"/>
    <w:rsid w:val="001E42B6"/>
    <w:rsid w:val="00211171"/>
    <w:rsid w:val="0022164E"/>
    <w:rsid w:val="00223CDD"/>
    <w:rsid w:val="002329D2"/>
    <w:rsid w:val="00276311"/>
    <w:rsid w:val="00291F68"/>
    <w:rsid w:val="00292E01"/>
    <w:rsid w:val="002A5E10"/>
    <w:rsid w:val="002D1F21"/>
    <w:rsid w:val="002D5054"/>
    <w:rsid w:val="002E4654"/>
    <w:rsid w:val="002E6B87"/>
    <w:rsid w:val="00323DE7"/>
    <w:rsid w:val="003327CF"/>
    <w:rsid w:val="00335EE7"/>
    <w:rsid w:val="003658BB"/>
    <w:rsid w:val="0037310F"/>
    <w:rsid w:val="00377181"/>
    <w:rsid w:val="0038435A"/>
    <w:rsid w:val="003904F6"/>
    <w:rsid w:val="003C489C"/>
    <w:rsid w:val="004040E1"/>
    <w:rsid w:val="0042465C"/>
    <w:rsid w:val="00430605"/>
    <w:rsid w:val="004633A8"/>
    <w:rsid w:val="00467D90"/>
    <w:rsid w:val="00485423"/>
    <w:rsid w:val="004A010C"/>
    <w:rsid w:val="004C686E"/>
    <w:rsid w:val="004C7742"/>
    <w:rsid w:val="004F39C0"/>
    <w:rsid w:val="00500B11"/>
    <w:rsid w:val="00511358"/>
    <w:rsid w:val="00536433"/>
    <w:rsid w:val="00571C8C"/>
    <w:rsid w:val="005B00C6"/>
    <w:rsid w:val="005B09ED"/>
    <w:rsid w:val="005B627E"/>
    <w:rsid w:val="005C4B40"/>
    <w:rsid w:val="005F7188"/>
    <w:rsid w:val="00614651"/>
    <w:rsid w:val="00642EF2"/>
    <w:rsid w:val="00650850"/>
    <w:rsid w:val="006530AF"/>
    <w:rsid w:val="006A128D"/>
    <w:rsid w:val="006A71D4"/>
    <w:rsid w:val="006D5E5A"/>
    <w:rsid w:val="00716F04"/>
    <w:rsid w:val="00747BEC"/>
    <w:rsid w:val="007A3161"/>
    <w:rsid w:val="007A5691"/>
    <w:rsid w:val="007B6D33"/>
    <w:rsid w:val="007C0717"/>
    <w:rsid w:val="007C5F49"/>
    <w:rsid w:val="007D5BDC"/>
    <w:rsid w:val="00815012"/>
    <w:rsid w:val="00842F04"/>
    <w:rsid w:val="00873005"/>
    <w:rsid w:val="00877F43"/>
    <w:rsid w:val="00881A30"/>
    <w:rsid w:val="00896D07"/>
    <w:rsid w:val="008A373B"/>
    <w:rsid w:val="008A53DA"/>
    <w:rsid w:val="008B1ADC"/>
    <w:rsid w:val="00915239"/>
    <w:rsid w:val="0091582B"/>
    <w:rsid w:val="0093134D"/>
    <w:rsid w:val="009340A2"/>
    <w:rsid w:val="0096541D"/>
    <w:rsid w:val="009701E6"/>
    <w:rsid w:val="009733B0"/>
    <w:rsid w:val="009E1AFD"/>
    <w:rsid w:val="00A03EC6"/>
    <w:rsid w:val="00A25A89"/>
    <w:rsid w:val="00A42F98"/>
    <w:rsid w:val="00A52C7C"/>
    <w:rsid w:val="00A5307B"/>
    <w:rsid w:val="00A749D9"/>
    <w:rsid w:val="00A76627"/>
    <w:rsid w:val="00A8110D"/>
    <w:rsid w:val="00A811DE"/>
    <w:rsid w:val="00AA04D1"/>
    <w:rsid w:val="00AD75FA"/>
    <w:rsid w:val="00AE429D"/>
    <w:rsid w:val="00AF471E"/>
    <w:rsid w:val="00AF6956"/>
    <w:rsid w:val="00B0469C"/>
    <w:rsid w:val="00B16DCF"/>
    <w:rsid w:val="00B52710"/>
    <w:rsid w:val="00B67D88"/>
    <w:rsid w:val="00B941C7"/>
    <w:rsid w:val="00BA3B82"/>
    <w:rsid w:val="00BD02F4"/>
    <w:rsid w:val="00BE0FB7"/>
    <w:rsid w:val="00C05B60"/>
    <w:rsid w:val="00C533F0"/>
    <w:rsid w:val="00C75DC2"/>
    <w:rsid w:val="00C84BF5"/>
    <w:rsid w:val="00CA5A2E"/>
    <w:rsid w:val="00CC0700"/>
    <w:rsid w:val="00CC0772"/>
    <w:rsid w:val="00CC6BCF"/>
    <w:rsid w:val="00CD2EB3"/>
    <w:rsid w:val="00CE0DB8"/>
    <w:rsid w:val="00CF57F2"/>
    <w:rsid w:val="00CF631F"/>
    <w:rsid w:val="00CF7174"/>
    <w:rsid w:val="00D25F55"/>
    <w:rsid w:val="00D502AF"/>
    <w:rsid w:val="00D5224C"/>
    <w:rsid w:val="00D57F3B"/>
    <w:rsid w:val="00D61F26"/>
    <w:rsid w:val="00D70CC7"/>
    <w:rsid w:val="00D8007F"/>
    <w:rsid w:val="00DA35D6"/>
    <w:rsid w:val="00DC4EFE"/>
    <w:rsid w:val="00DD3651"/>
    <w:rsid w:val="00DE2298"/>
    <w:rsid w:val="00E352EB"/>
    <w:rsid w:val="00E35448"/>
    <w:rsid w:val="00E5221C"/>
    <w:rsid w:val="00E86A19"/>
    <w:rsid w:val="00E90501"/>
    <w:rsid w:val="00EA32D0"/>
    <w:rsid w:val="00EC2796"/>
    <w:rsid w:val="00EC76B6"/>
    <w:rsid w:val="00ED2FF9"/>
    <w:rsid w:val="00EF13D8"/>
    <w:rsid w:val="00F36CB9"/>
    <w:rsid w:val="00F4598D"/>
    <w:rsid w:val="00F66C09"/>
    <w:rsid w:val="00FA3F0F"/>
    <w:rsid w:val="00FB7881"/>
    <w:rsid w:val="00FE2DA5"/>
    <w:rsid w:val="00FF4537"/>
    <w:rsid w:val="033C434B"/>
    <w:rsid w:val="05B71D7D"/>
    <w:rsid w:val="0B5C0A2D"/>
    <w:rsid w:val="0EFCAF17"/>
    <w:rsid w:val="1138DCA5"/>
    <w:rsid w:val="1209B675"/>
    <w:rsid w:val="13D21C39"/>
    <w:rsid w:val="1E41D3D4"/>
    <w:rsid w:val="21141D19"/>
    <w:rsid w:val="25FCC458"/>
    <w:rsid w:val="2679F021"/>
    <w:rsid w:val="2917809A"/>
    <w:rsid w:val="2AF3BEF3"/>
    <w:rsid w:val="2D04CA89"/>
    <w:rsid w:val="2E3F9517"/>
    <w:rsid w:val="2F2E315D"/>
    <w:rsid w:val="308ECA56"/>
    <w:rsid w:val="3186C150"/>
    <w:rsid w:val="34EBA912"/>
    <w:rsid w:val="351919C2"/>
    <w:rsid w:val="362C7E13"/>
    <w:rsid w:val="3652C5B4"/>
    <w:rsid w:val="3E50743D"/>
    <w:rsid w:val="3FDBD361"/>
    <w:rsid w:val="43C31046"/>
    <w:rsid w:val="4A01FCBF"/>
    <w:rsid w:val="4C948467"/>
    <w:rsid w:val="4D34EDD9"/>
    <w:rsid w:val="4DB6C1EC"/>
    <w:rsid w:val="500054F2"/>
    <w:rsid w:val="543CD47D"/>
    <w:rsid w:val="570067EB"/>
    <w:rsid w:val="5896DD90"/>
    <w:rsid w:val="5BB5639E"/>
    <w:rsid w:val="61286340"/>
    <w:rsid w:val="659F81D1"/>
    <w:rsid w:val="65D5C387"/>
    <w:rsid w:val="661D5CA7"/>
    <w:rsid w:val="68CDDE17"/>
    <w:rsid w:val="690357AC"/>
    <w:rsid w:val="6E894D36"/>
    <w:rsid w:val="6EDCCDCB"/>
    <w:rsid w:val="7360C57F"/>
    <w:rsid w:val="74C311C2"/>
    <w:rsid w:val="7802B45E"/>
    <w:rsid w:val="78D182A0"/>
    <w:rsid w:val="7994972C"/>
    <w:rsid w:val="79A244D6"/>
    <w:rsid w:val="7B64492E"/>
    <w:rsid w:val="7D0D7B6E"/>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DCFF41B"/>
  <w15:chartTrackingRefBased/>
  <w15:docId w15:val="{D1756AEC-35F2-4162-B917-DE6BC469791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hAnsiTheme="minorHAnsi" w:eastAsia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style>
  <w:style w:type="paragraph" w:styleId="Heading1">
    <w:name w:val="heading 1"/>
    <w:basedOn w:val="Normal"/>
    <w:next w:val="Normal"/>
    <w:link w:val="Heading1Char"/>
    <w:uiPriority w:val="9"/>
    <w:qFormat/>
    <w:rsid w:val="004C7742"/>
    <w:pPr>
      <w:keepNext/>
      <w:keepLines/>
      <w:spacing w:before="360" w:after="80"/>
      <w:outlineLvl w:val="0"/>
    </w:pPr>
    <w:rPr>
      <w:rFonts w:asciiTheme="majorHAnsi" w:hAnsiTheme="majorHAnsi" w:eastAsiaTheme="majorEastAsia"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4C7742"/>
    <w:pPr>
      <w:keepNext/>
      <w:keepLines/>
      <w:spacing w:before="160" w:after="80"/>
      <w:outlineLvl w:val="1"/>
    </w:pPr>
    <w:rPr>
      <w:rFonts w:asciiTheme="majorHAnsi" w:hAnsiTheme="majorHAnsi" w:eastAsiaTheme="majorEastAsia"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4C7742"/>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unhideWhenUsed/>
    <w:qFormat/>
    <w:rsid w:val="004C7742"/>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4C7742"/>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4C7742"/>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4C7742"/>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4C7742"/>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4C7742"/>
    <w:pPr>
      <w:keepNext/>
      <w:keepLines/>
      <w:spacing w:after="0"/>
      <w:outlineLvl w:val="8"/>
    </w:pPr>
    <w:rPr>
      <w:rFonts w:eastAsiaTheme="majorEastAsia" w:cstheme="majorBidi"/>
      <w:color w:val="272727" w:themeColor="text1" w:themeTint="D8"/>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character" w:styleId="Heading1Char" w:customStyle="1">
    <w:name w:val="Heading 1 Char"/>
    <w:basedOn w:val="DefaultParagraphFont"/>
    <w:link w:val="Heading1"/>
    <w:uiPriority w:val="9"/>
    <w:rsid w:val="004C7742"/>
    <w:rPr>
      <w:rFonts w:asciiTheme="majorHAnsi" w:hAnsiTheme="majorHAnsi" w:eastAsiaTheme="majorEastAsia" w:cstheme="majorBidi"/>
      <w:color w:val="0F4761" w:themeColor="accent1" w:themeShade="BF"/>
      <w:sz w:val="40"/>
      <w:szCs w:val="40"/>
    </w:rPr>
  </w:style>
  <w:style w:type="character" w:styleId="Heading2Char" w:customStyle="1">
    <w:name w:val="Heading 2 Char"/>
    <w:basedOn w:val="DefaultParagraphFont"/>
    <w:link w:val="Heading2"/>
    <w:uiPriority w:val="9"/>
    <w:semiHidden/>
    <w:rsid w:val="004C7742"/>
    <w:rPr>
      <w:rFonts w:asciiTheme="majorHAnsi" w:hAnsiTheme="majorHAnsi" w:eastAsiaTheme="majorEastAsia" w:cstheme="majorBidi"/>
      <w:color w:val="0F4761" w:themeColor="accent1" w:themeShade="BF"/>
      <w:sz w:val="32"/>
      <w:szCs w:val="32"/>
    </w:rPr>
  </w:style>
  <w:style w:type="character" w:styleId="Heading3Char" w:customStyle="1">
    <w:name w:val="Heading 3 Char"/>
    <w:basedOn w:val="DefaultParagraphFont"/>
    <w:link w:val="Heading3"/>
    <w:uiPriority w:val="9"/>
    <w:semiHidden/>
    <w:rsid w:val="004C7742"/>
    <w:rPr>
      <w:rFonts w:eastAsiaTheme="majorEastAsia" w:cstheme="majorBidi"/>
      <w:color w:val="0F4761" w:themeColor="accent1" w:themeShade="BF"/>
      <w:sz w:val="28"/>
      <w:szCs w:val="28"/>
    </w:rPr>
  </w:style>
  <w:style w:type="character" w:styleId="Heading4Char" w:customStyle="1">
    <w:name w:val="Heading 4 Char"/>
    <w:basedOn w:val="DefaultParagraphFont"/>
    <w:link w:val="Heading4"/>
    <w:uiPriority w:val="9"/>
    <w:rsid w:val="004C7742"/>
    <w:rPr>
      <w:rFonts w:eastAsiaTheme="majorEastAsia" w:cstheme="majorBidi"/>
      <w:i/>
      <w:iCs/>
      <w:color w:val="0F4761" w:themeColor="accent1" w:themeShade="BF"/>
    </w:rPr>
  </w:style>
  <w:style w:type="character" w:styleId="Heading5Char" w:customStyle="1">
    <w:name w:val="Heading 5 Char"/>
    <w:basedOn w:val="DefaultParagraphFont"/>
    <w:link w:val="Heading5"/>
    <w:uiPriority w:val="9"/>
    <w:semiHidden/>
    <w:rsid w:val="004C7742"/>
    <w:rPr>
      <w:rFonts w:eastAsiaTheme="majorEastAsia" w:cstheme="majorBidi"/>
      <w:color w:val="0F4761" w:themeColor="accent1" w:themeShade="BF"/>
    </w:rPr>
  </w:style>
  <w:style w:type="character" w:styleId="Heading6Char" w:customStyle="1">
    <w:name w:val="Heading 6 Char"/>
    <w:basedOn w:val="DefaultParagraphFont"/>
    <w:link w:val="Heading6"/>
    <w:uiPriority w:val="9"/>
    <w:semiHidden/>
    <w:rsid w:val="004C7742"/>
    <w:rPr>
      <w:rFonts w:eastAsiaTheme="majorEastAsia" w:cstheme="majorBidi"/>
      <w:i/>
      <w:iCs/>
      <w:color w:val="595959" w:themeColor="text1" w:themeTint="A6"/>
    </w:rPr>
  </w:style>
  <w:style w:type="character" w:styleId="Heading7Char" w:customStyle="1">
    <w:name w:val="Heading 7 Char"/>
    <w:basedOn w:val="DefaultParagraphFont"/>
    <w:link w:val="Heading7"/>
    <w:uiPriority w:val="9"/>
    <w:semiHidden/>
    <w:rsid w:val="004C7742"/>
    <w:rPr>
      <w:rFonts w:eastAsiaTheme="majorEastAsia" w:cstheme="majorBidi"/>
      <w:color w:val="595959" w:themeColor="text1" w:themeTint="A6"/>
    </w:rPr>
  </w:style>
  <w:style w:type="character" w:styleId="Heading8Char" w:customStyle="1">
    <w:name w:val="Heading 8 Char"/>
    <w:basedOn w:val="DefaultParagraphFont"/>
    <w:link w:val="Heading8"/>
    <w:uiPriority w:val="9"/>
    <w:semiHidden/>
    <w:rsid w:val="004C7742"/>
    <w:rPr>
      <w:rFonts w:eastAsiaTheme="majorEastAsia" w:cstheme="majorBidi"/>
      <w:i/>
      <w:iCs/>
      <w:color w:val="272727" w:themeColor="text1" w:themeTint="D8"/>
    </w:rPr>
  </w:style>
  <w:style w:type="character" w:styleId="Heading9Char" w:customStyle="1">
    <w:name w:val="Heading 9 Char"/>
    <w:basedOn w:val="DefaultParagraphFont"/>
    <w:link w:val="Heading9"/>
    <w:uiPriority w:val="9"/>
    <w:semiHidden/>
    <w:rsid w:val="004C7742"/>
    <w:rPr>
      <w:rFonts w:eastAsiaTheme="majorEastAsia" w:cstheme="majorBidi"/>
      <w:color w:val="272727" w:themeColor="text1" w:themeTint="D8"/>
    </w:rPr>
  </w:style>
  <w:style w:type="paragraph" w:styleId="Title">
    <w:name w:val="Title"/>
    <w:basedOn w:val="Normal"/>
    <w:next w:val="Normal"/>
    <w:link w:val="TitleChar"/>
    <w:uiPriority w:val="10"/>
    <w:qFormat/>
    <w:rsid w:val="004C7742"/>
    <w:pPr>
      <w:spacing w:after="80" w:line="240" w:lineRule="auto"/>
      <w:contextualSpacing/>
    </w:pPr>
    <w:rPr>
      <w:rFonts w:asciiTheme="majorHAnsi" w:hAnsiTheme="majorHAnsi" w:eastAsiaTheme="majorEastAsia" w:cstheme="majorBidi"/>
      <w:spacing w:val="-10"/>
      <w:kern w:val="28"/>
      <w:sz w:val="56"/>
      <w:szCs w:val="56"/>
    </w:rPr>
  </w:style>
  <w:style w:type="character" w:styleId="TitleChar" w:customStyle="1">
    <w:name w:val="Title Char"/>
    <w:basedOn w:val="DefaultParagraphFont"/>
    <w:link w:val="Title"/>
    <w:uiPriority w:val="10"/>
    <w:rsid w:val="004C7742"/>
    <w:rPr>
      <w:rFonts w:asciiTheme="majorHAnsi" w:hAnsiTheme="majorHAnsi" w:eastAsiaTheme="majorEastAsia" w:cstheme="majorBidi"/>
      <w:spacing w:val="-10"/>
      <w:kern w:val="28"/>
      <w:sz w:val="56"/>
      <w:szCs w:val="56"/>
    </w:rPr>
  </w:style>
  <w:style w:type="paragraph" w:styleId="Subtitle">
    <w:name w:val="Subtitle"/>
    <w:basedOn w:val="Normal"/>
    <w:next w:val="Normal"/>
    <w:link w:val="SubtitleChar"/>
    <w:uiPriority w:val="11"/>
    <w:qFormat/>
    <w:rsid w:val="004C7742"/>
    <w:pPr>
      <w:numPr>
        <w:ilvl w:val="1"/>
      </w:numPr>
    </w:pPr>
    <w:rPr>
      <w:rFonts w:eastAsiaTheme="majorEastAsia" w:cstheme="majorBidi"/>
      <w:color w:val="595959" w:themeColor="text1" w:themeTint="A6"/>
      <w:spacing w:val="15"/>
      <w:sz w:val="28"/>
      <w:szCs w:val="28"/>
    </w:rPr>
  </w:style>
  <w:style w:type="character" w:styleId="SubtitleChar" w:customStyle="1">
    <w:name w:val="Subtitle Char"/>
    <w:basedOn w:val="DefaultParagraphFont"/>
    <w:link w:val="Subtitle"/>
    <w:uiPriority w:val="11"/>
    <w:rsid w:val="004C7742"/>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4C7742"/>
    <w:pPr>
      <w:spacing w:before="160"/>
      <w:jc w:val="center"/>
    </w:pPr>
    <w:rPr>
      <w:i/>
      <w:iCs/>
      <w:color w:val="404040" w:themeColor="text1" w:themeTint="BF"/>
    </w:rPr>
  </w:style>
  <w:style w:type="character" w:styleId="QuoteChar" w:customStyle="1">
    <w:name w:val="Quote Char"/>
    <w:basedOn w:val="DefaultParagraphFont"/>
    <w:link w:val="Quote"/>
    <w:uiPriority w:val="29"/>
    <w:rsid w:val="004C7742"/>
    <w:rPr>
      <w:i/>
      <w:iCs/>
      <w:color w:val="404040" w:themeColor="text1" w:themeTint="BF"/>
    </w:rPr>
  </w:style>
  <w:style w:type="paragraph" w:styleId="ListParagraph">
    <w:name w:val="List Paragraph"/>
    <w:basedOn w:val="Normal"/>
    <w:uiPriority w:val="34"/>
    <w:qFormat/>
    <w:rsid w:val="004C7742"/>
    <w:pPr>
      <w:ind w:left="720"/>
      <w:contextualSpacing/>
    </w:pPr>
  </w:style>
  <w:style w:type="character" w:styleId="IntenseEmphasis">
    <w:name w:val="Intense Emphasis"/>
    <w:basedOn w:val="DefaultParagraphFont"/>
    <w:uiPriority w:val="21"/>
    <w:qFormat/>
    <w:rsid w:val="004C7742"/>
    <w:rPr>
      <w:i/>
      <w:iCs/>
      <w:color w:val="0F4761" w:themeColor="accent1" w:themeShade="BF"/>
    </w:rPr>
  </w:style>
  <w:style w:type="paragraph" w:styleId="IntenseQuote">
    <w:name w:val="Intense Quote"/>
    <w:basedOn w:val="Normal"/>
    <w:next w:val="Normal"/>
    <w:link w:val="IntenseQuoteChar"/>
    <w:uiPriority w:val="30"/>
    <w:qFormat/>
    <w:rsid w:val="004C7742"/>
    <w:pPr>
      <w:pBdr>
        <w:top w:val="single" w:color="0F4761" w:themeColor="accent1" w:themeShade="BF" w:sz="4" w:space="10"/>
        <w:bottom w:val="single" w:color="0F4761" w:themeColor="accent1" w:themeShade="BF" w:sz="4" w:space="10"/>
      </w:pBdr>
      <w:spacing w:before="360" w:after="360"/>
      <w:ind w:left="864" w:right="864"/>
      <w:jc w:val="center"/>
    </w:pPr>
    <w:rPr>
      <w:i/>
      <w:iCs/>
      <w:color w:val="0F4761" w:themeColor="accent1" w:themeShade="BF"/>
    </w:rPr>
  </w:style>
  <w:style w:type="character" w:styleId="IntenseQuoteChar" w:customStyle="1">
    <w:name w:val="Intense Quote Char"/>
    <w:basedOn w:val="DefaultParagraphFont"/>
    <w:link w:val="IntenseQuote"/>
    <w:uiPriority w:val="30"/>
    <w:rsid w:val="004C7742"/>
    <w:rPr>
      <w:i/>
      <w:iCs/>
      <w:color w:val="0F4761" w:themeColor="accent1" w:themeShade="BF"/>
    </w:rPr>
  </w:style>
  <w:style w:type="character" w:styleId="IntenseReference">
    <w:name w:val="Intense Reference"/>
    <w:basedOn w:val="DefaultParagraphFont"/>
    <w:uiPriority w:val="32"/>
    <w:qFormat/>
    <w:rsid w:val="004C7742"/>
    <w:rPr>
      <w:b/>
      <w:bCs/>
      <w:smallCaps/>
      <w:color w:val="0F4761" w:themeColor="accent1" w:themeShade="BF"/>
      <w:spacing w:val="5"/>
    </w:rPr>
  </w:style>
  <w:style w:type="paragraph" w:styleId="NormalWeb">
    <w:name w:val="Normal (Web)"/>
    <w:basedOn w:val="Normal"/>
    <w:uiPriority w:val="99"/>
    <w:unhideWhenUsed/>
    <w:rsid w:val="004C7742"/>
    <w:pPr>
      <w:spacing w:before="100" w:beforeAutospacing="1" w:after="100" w:afterAutospacing="1" w:line="240" w:lineRule="auto"/>
    </w:pPr>
    <w:rPr>
      <w:rFonts w:ascii="Times New Roman" w:hAnsi="Times New Roman" w:eastAsia="Times New Roman" w:cs="Times New Roman"/>
      <w:kern w:val="0"/>
      <w14:ligatures w14:val="none"/>
    </w:rPr>
  </w:style>
  <w:style w:type="character" w:styleId="Hyperlink">
    <w:name w:val="Hyperlink"/>
    <w:basedOn w:val="DefaultParagraphFont"/>
    <w:uiPriority w:val="99"/>
    <w:unhideWhenUsed/>
    <w:rsid w:val="004F39C0"/>
    <w:rPr>
      <w:color w:val="467886" w:themeColor="hyperlink"/>
      <w:u w:val="single"/>
    </w:rPr>
  </w:style>
  <w:style w:type="character" w:styleId="UnresolvedMention">
    <w:name w:val="Unresolved Mention"/>
    <w:basedOn w:val="DefaultParagraphFont"/>
    <w:uiPriority w:val="99"/>
    <w:semiHidden/>
    <w:unhideWhenUsed/>
    <w:rsid w:val="004F39C0"/>
    <w:rPr>
      <w:color w:val="605E5C"/>
      <w:shd w:val="clear" w:color="auto" w:fill="E1DFDD"/>
    </w:rPr>
  </w:style>
  <w:style w:type="paragraph" w:styleId="FootnoteText">
    <w:name w:val="footnote text"/>
    <w:basedOn w:val="Normal"/>
    <w:link w:val="FootnoteTextChar"/>
    <w:uiPriority w:val="99"/>
    <w:semiHidden/>
    <w:unhideWhenUsed/>
    <w:rsid w:val="007A5691"/>
    <w:pPr>
      <w:spacing w:after="0" w:line="240" w:lineRule="auto"/>
    </w:pPr>
    <w:rPr>
      <w:sz w:val="20"/>
      <w:szCs w:val="20"/>
    </w:rPr>
  </w:style>
  <w:style w:type="character" w:styleId="FootnoteTextChar" w:customStyle="1">
    <w:name w:val="Footnote Text Char"/>
    <w:basedOn w:val="DefaultParagraphFont"/>
    <w:link w:val="FootnoteText"/>
    <w:uiPriority w:val="99"/>
    <w:semiHidden/>
    <w:rsid w:val="007A5691"/>
    <w:rPr>
      <w:sz w:val="20"/>
      <w:szCs w:val="20"/>
    </w:rPr>
  </w:style>
  <w:style w:type="character" w:styleId="FootnoteReference">
    <w:name w:val="footnote reference"/>
    <w:basedOn w:val="DefaultParagraphFont"/>
    <w:uiPriority w:val="99"/>
    <w:semiHidden/>
    <w:unhideWhenUsed/>
    <w:rsid w:val="007A5691"/>
    <w:rPr>
      <w:vertAlign w:val="superscript"/>
    </w:rPr>
  </w:style>
  <w:style w:type="character" w:styleId="CommentReference">
    <w:name w:val="annotation reference"/>
    <w:basedOn w:val="DefaultParagraphFont"/>
    <w:uiPriority w:val="99"/>
    <w:semiHidden/>
    <w:unhideWhenUsed/>
    <w:rsid w:val="00004B56"/>
    <w:rPr>
      <w:sz w:val="16"/>
      <w:szCs w:val="16"/>
    </w:rPr>
  </w:style>
  <w:style w:type="paragraph" w:styleId="CommentText">
    <w:name w:val="annotation text"/>
    <w:basedOn w:val="Normal"/>
    <w:link w:val="CommentTextChar"/>
    <w:uiPriority w:val="99"/>
    <w:unhideWhenUsed/>
    <w:rsid w:val="00004B56"/>
    <w:pPr>
      <w:spacing w:line="240" w:lineRule="auto"/>
    </w:pPr>
    <w:rPr>
      <w:sz w:val="20"/>
      <w:szCs w:val="20"/>
    </w:rPr>
  </w:style>
  <w:style w:type="character" w:styleId="CommentTextChar" w:customStyle="1">
    <w:name w:val="Comment Text Char"/>
    <w:basedOn w:val="DefaultParagraphFont"/>
    <w:link w:val="CommentText"/>
    <w:uiPriority w:val="99"/>
    <w:rsid w:val="00004B56"/>
    <w:rPr>
      <w:sz w:val="20"/>
      <w:szCs w:val="20"/>
    </w:rPr>
  </w:style>
  <w:style w:type="paragraph" w:styleId="CommentSubject">
    <w:name w:val="annotation subject"/>
    <w:basedOn w:val="CommentText"/>
    <w:next w:val="CommentText"/>
    <w:link w:val="CommentSubjectChar"/>
    <w:uiPriority w:val="99"/>
    <w:semiHidden/>
    <w:unhideWhenUsed/>
    <w:rsid w:val="00004B56"/>
    <w:rPr>
      <w:b/>
      <w:bCs/>
    </w:rPr>
  </w:style>
  <w:style w:type="character" w:styleId="CommentSubjectChar" w:customStyle="1">
    <w:name w:val="Comment Subject Char"/>
    <w:basedOn w:val="CommentTextChar"/>
    <w:link w:val="CommentSubject"/>
    <w:uiPriority w:val="99"/>
    <w:semiHidden/>
    <w:rsid w:val="00004B56"/>
    <w:rPr>
      <w:b/>
      <w:bCs/>
      <w:sz w:val="20"/>
      <w:szCs w:val="20"/>
    </w:rPr>
  </w:style>
  <w:style w:type="paragraph" w:styleId="Header">
    <w:name w:val="header"/>
    <w:basedOn w:val="Normal"/>
    <w:link w:val="HeaderChar"/>
    <w:uiPriority w:val="99"/>
    <w:semiHidden/>
    <w:unhideWhenUsed/>
    <w:rsid w:val="00571C8C"/>
    <w:pPr>
      <w:tabs>
        <w:tab w:val="center" w:pos="4680"/>
        <w:tab w:val="right" w:pos="9360"/>
      </w:tabs>
      <w:spacing w:after="0" w:line="240" w:lineRule="auto"/>
    </w:pPr>
  </w:style>
  <w:style w:type="character" w:styleId="HeaderChar" w:customStyle="1">
    <w:name w:val="Header Char"/>
    <w:basedOn w:val="DefaultParagraphFont"/>
    <w:link w:val="Header"/>
    <w:uiPriority w:val="99"/>
    <w:semiHidden/>
    <w:rsid w:val="00571C8C"/>
  </w:style>
  <w:style w:type="paragraph" w:styleId="Footer">
    <w:name w:val="footer"/>
    <w:basedOn w:val="Normal"/>
    <w:link w:val="FooterChar"/>
    <w:uiPriority w:val="99"/>
    <w:semiHidden/>
    <w:unhideWhenUsed/>
    <w:rsid w:val="00571C8C"/>
    <w:pPr>
      <w:tabs>
        <w:tab w:val="center" w:pos="4680"/>
        <w:tab w:val="right" w:pos="9360"/>
      </w:tabs>
      <w:spacing w:after="0" w:line="240" w:lineRule="auto"/>
    </w:pPr>
  </w:style>
  <w:style w:type="character" w:styleId="FooterChar" w:customStyle="1">
    <w:name w:val="Footer Char"/>
    <w:basedOn w:val="DefaultParagraphFont"/>
    <w:link w:val="Footer"/>
    <w:uiPriority w:val="99"/>
    <w:semiHidden/>
    <w:rsid w:val="00571C8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&#65279;<?xml version="1.0" encoding="utf-8"?><Relationships xmlns="http://schemas.openxmlformats.org/package/2006/relationships"><Relationship Type="http://schemas.openxmlformats.org/officeDocument/2006/relationships/footnotes" Target="footnotes.xml" Id="rId8" /><Relationship Type="http://schemas.openxmlformats.org/officeDocument/2006/relationships/customXml" Target="../customXml/item3.xml" Id="rId3" /><Relationship Type="http://schemas.openxmlformats.org/officeDocument/2006/relationships/webSettings" Target="webSettings.xml" Id="rId7" /><Relationship Type="http://schemas.microsoft.com/office/2016/09/relationships/commentsIds" Target="commentsIds.xml" Id="rId12" /><Relationship Type="http://schemas.openxmlformats.org/officeDocument/2006/relationships/theme" Target="theme/theme1.xml" Id="rId17" /><Relationship Type="http://schemas.openxmlformats.org/officeDocument/2006/relationships/customXml" Target="../customXml/item2.xml" Id="rId2" /><Relationship Type="http://schemas.microsoft.com/office/2011/relationships/people" Target="people.xml" Id="rId16" /><Relationship Type="http://schemas.openxmlformats.org/officeDocument/2006/relationships/customXml" Target="../customXml/item1.xml" Id="rId1" /><Relationship Type="http://schemas.openxmlformats.org/officeDocument/2006/relationships/settings" Target="settings.xml" Id="rId6" /><Relationship Type="http://schemas.microsoft.com/office/2011/relationships/commentsExtended" Target="commentsExtended.xml" Id="rId11" /><Relationship Type="http://schemas.openxmlformats.org/officeDocument/2006/relationships/styles" Target="styles.xml" Id="rId5" /><Relationship Type="http://schemas.openxmlformats.org/officeDocument/2006/relationships/fontTable" Target="fontTable.xml" Id="rId15" /><Relationship Type="http://schemas.openxmlformats.org/officeDocument/2006/relationships/numbering" Target="numbering.xml" Id="rId4" /><Relationship Type="http://schemas.openxmlformats.org/officeDocument/2006/relationships/endnotes" Target="endnotes.xml" Id="rId9" /><Relationship Type="http://schemas.openxmlformats.org/officeDocument/2006/relationships/hyperlink" Target="https://www.revisor.mn.gov/statutes/cite/518.131" TargetMode="External" Id="rId14" /></Relationships>
</file>

<file path=word/theme/theme1.xml><?xml version="1.0" encoding="utf-8"?>
<a:theme xmlns:a="http://schemas.openxmlformats.org/drawingml/2006/main" xmlns:thm15="http://schemas.microsoft.com/office/thememl/2012/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40b65bf5-530d-4fe6-aa76-7f104bd9f1a9">
      <Terms xmlns="http://schemas.microsoft.com/office/infopath/2007/PartnerControls"/>
    </lcf76f155ced4ddcb4097134ff3c332f>
    <TaxCatchAll xmlns="0bf0890f-9744-4afa-99fb-b7ca3766c15e"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0FFD793D71E8834597AD40567E1E016A" ma:contentTypeVersion="18" ma:contentTypeDescription="Create a new document." ma:contentTypeScope="" ma:versionID="b7ae871eded926dd9f9408d6d5becd88">
  <xsd:schema xmlns:xsd="http://www.w3.org/2001/XMLSchema" xmlns:xs="http://www.w3.org/2001/XMLSchema" xmlns:p="http://schemas.microsoft.com/office/2006/metadata/properties" xmlns:ns2="40b65bf5-530d-4fe6-aa76-7f104bd9f1a9" xmlns:ns3="0bf0890f-9744-4afa-99fb-b7ca3766c15e" targetNamespace="http://schemas.microsoft.com/office/2006/metadata/properties" ma:root="true" ma:fieldsID="121e493b963accbc8627fb3a24252299" ns2:_="" ns3:_="">
    <xsd:import namespace="40b65bf5-530d-4fe6-aa76-7f104bd9f1a9"/>
    <xsd:import namespace="0bf0890f-9744-4afa-99fb-b7ca3766c15e"/>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GenerationTime" minOccurs="0"/>
                <xsd:element ref="ns2:MediaServiceEventHashCode" minOccurs="0"/>
                <xsd:element ref="ns2:MediaServiceOCR" minOccurs="0"/>
                <xsd:element ref="ns2:MediaServiceDateTaken" minOccurs="0"/>
                <xsd:element ref="ns3:SharedWithUsers" minOccurs="0"/>
                <xsd:element ref="ns3:SharedWithDetails" minOccurs="0"/>
                <xsd:element ref="ns2:MediaServiceLocation" minOccurs="0"/>
                <xsd:element ref="ns2:MediaLengthInSeconds" minOccurs="0"/>
                <xsd:element ref="ns2:lcf76f155ced4ddcb4097134ff3c332f" minOccurs="0"/>
                <xsd:element ref="ns3: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0b65bf5-530d-4fe6-aa76-7f104bd9f1a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DateTaken" ma:index="16" nillable="true" ma:displayName="MediaServiceDateTaken" ma:hidden="true" ma:internalName="MediaServiceDateTaken" ma:readOnly="true">
      <xsd:simpleType>
        <xsd:restriction base="dms:Text"/>
      </xsd:simpleType>
    </xsd:element>
    <xsd:element name="MediaServiceLocation" ma:index="19" nillable="true" ma:displayName="Location" ma:internalName="MediaServiceLocation" ma:readOnly="true">
      <xsd:simpleType>
        <xsd:restriction base="dms:Text"/>
      </xsd:simpleType>
    </xsd:element>
    <xsd:element name="MediaLengthInSeconds" ma:index="20" nillable="true" ma:displayName="MediaLengthInSeconds" ma:hidden="true"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df09c9a9-da49-4b93-8c09-ac181fcd3651"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0bf0890f-9744-4afa-99fb-b7ca3766c15e" elementFormDefault="qualified">
    <xsd:import namespace="http://schemas.microsoft.com/office/2006/documentManagement/types"/>
    <xsd:import namespace="http://schemas.microsoft.com/office/infopath/2007/PartnerControls"/>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95e1c0c1-e0bb-43b7-b32a-69aa1a502fbf}" ma:internalName="TaxCatchAll" ma:showField="CatchAllData" ma:web="0bf0890f-9744-4afa-99fb-b7ca3766c15e">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1A6A497C-56C8-4F28-BFAF-B9FCE32CC880}">
  <ds:schemaRefs>
    <ds:schemaRef ds:uri="http://schemas.microsoft.com/office/2006/metadata/properties"/>
    <ds:schemaRef ds:uri="http://schemas.microsoft.com/office/infopath/2007/PartnerControls"/>
    <ds:schemaRef ds:uri="40b65bf5-530d-4fe6-aa76-7f104bd9f1a9"/>
    <ds:schemaRef ds:uri="0bf0890f-9744-4afa-99fb-b7ca3766c15e"/>
  </ds:schemaRefs>
</ds:datastoreItem>
</file>

<file path=customXml/itemProps2.xml><?xml version="1.0" encoding="utf-8"?>
<ds:datastoreItem xmlns:ds="http://schemas.openxmlformats.org/officeDocument/2006/customXml" ds:itemID="{45C86317-7C0C-459F-B3BD-66724B4A6696}">
  <ds:schemaRefs>
    <ds:schemaRef ds:uri="http://schemas.microsoft.com/sharepoint/v3/contenttype/forms"/>
  </ds:schemaRefs>
</ds:datastoreItem>
</file>

<file path=customXml/itemProps3.xml><?xml version="1.0" encoding="utf-8"?>
<ds:datastoreItem xmlns:ds="http://schemas.openxmlformats.org/officeDocument/2006/customXml" ds:itemID="{C344637B-4866-408D-8C94-C919FF3077BF}"/>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Normal.dotm</ap:Template>
  <ap:Application>Microsoft Word for the web</ap:Application>
  <ap:DocSecurity>4</ap:DocSecurity>
  <ap:ScaleCrop>false</ap:ScaleCrop>
  <ap:Company/>
  <ap:SharedDoc>false</ap:SharedDoc>
  <ap:HyperlinksChanged>false</ap:HyperlinksChanged>
  <ap:AppVersion>16.0000</ap:AppVersion>
  <ap:LinksUpToDate>false</ap:LinksUpToDate>
</ap: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Brandi Forstner</dc:creator>
  <cp:keywords/>
  <dc:description/>
  <cp:lastModifiedBy>Brandi Forstner</cp:lastModifiedBy>
  <cp:revision>91</cp:revision>
  <dcterms:created xsi:type="dcterms:W3CDTF">2026-01-22T18:14:00Z</dcterms:created>
  <dcterms:modified xsi:type="dcterms:W3CDTF">2026-05-08T18:51:16Z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0x0101000FFD793D71E8834597AD40567E1E016A</vt:lpwstr>
  </property>
  <property fmtid="{D5CDD505-2E9C-101B-9397-08002B2CF9AE}" pid="3" name="MediaServiceImageTags">
    <vt:lpwstr/>
  </property>
  <property fmtid="{D5CDD505-2E9C-101B-9397-08002B2CF9AE}" pid="4" name="docLang">
    <vt:lpwstr>en</vt:lpwstr>
  </property>
</Properties>
</file>