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C04B" w14:textId="75E2EE6F" w:rsidR="001B1A4D" w:rsidRPr="00233BA8" w:rsidRDefault="00FF01D0" w:rsidP="001B1A4D">
      <w:pPr>
        <w:jc w:val="center"/>
        <w:rPr>
          <w:rFonts w:ascii="Garamond" w:hAnsi="Garamond"/>
          <w:b/>
          <w:bCs/>
          <w:sz w:val="32"/>
          <w:szCs w:val="32"/>
        </w:rPr>
      </w:pPr>
      <w:r>
        <w:rPr>
          <w:rFonts w:ascii="Garamond" w:hAnsi="Garamond"/>
          <w:b/>
          <w:bCs/>
          <w:sz w:val="32"/>
          <w:szCs w:val="32"/>
          <w:highlight w:val="yellow"/>
        </w:rPr>
        <w:t>Relocating</w:t>
      </w:r>
      <w:r w:rsidR="001B1A4D" w:rsidRPr="00233BA8">
        <w:rPr>
          <w:rFonts w:ascii="Garamond" w:hAnsi="Garamond"/>
          <w:b/>
          <w:bCs/>
          <w:sz w:val="32"/>
          <w:szCs w:val="32"/>
          <w:highlight w:val="yellow"/>
        </w:rPr>
        <w:t xml:space="preserve"> out of State</w:t>
      </w:r>
    </w:p>
    <w:p w14:paraId="694F7B1F" w14:textId="067AB5D5" w:rsidR="001B1A4D" w:rsidRPr="00A05CFD" w:rsidRDefault="001B1A4D" w:rsidP="00B04712">
      <w:pPr>
        <w:spacing w:after="240" w:line="240" w:lineRule="auto"/>
        <w:rPr>
          <w:rFonts w:ascii="Garamond" w:hAnsi="Garamond"/>
        </w:rPr>
      </w:pPr>
      <w:r w:rsidRPr="001B1A4D">
        <w:rPr>
          <w:rFonts w:ascii="Garamond" w:hAnsi="Garamond"/>
          <w:b/>
          <w:bCs/>
        </w:rPr>
        <w:t>Statutory authority:</w:t>
      </w:r>
      <w:r w:rsidRPr="001B1A4D">
        <w:rPr>
          <w:rFonts w:ascii="Garamond" w:hAnsi="Garamond"/>
        </w:rPr>
        <w:t xml:space="preserve"> MN Statute Section 518.175 Subd. 3</w:t>
      </w:r>
      <w:r w:rsidR="00A05CFD">
        <w:rPr>
          <w:rFonts w:ascii="Garamond" w:hAnsi="Garamond"/>
        </w:rPr>
        <w:t xml:space="preserve">; MN General Rule of Practice - </w:t>
      </w:r>
      <w:r w:rsidR="00A05CFD" w:rsidRPr="00EF13D8">
        <w:rPr>
          <w:rFonts w:ascii="Garamond" w:hAnsi="Garamond"/>
        </w:rPr>
        <w:t>Rule 303</w:t>
      </w:r>
    </w:p>
    <w:p w14:paraId="544E4641" w14:textId="0070822F" w:rsidR="00142D80" w:rsidRDefault="001B1A4D" w:rsidP="00B04712">
      <w:pPr>
        <w:spacing w:after="240" w:line="240" w:lineRule="auto"/>
        <w:rPr>
          <w:rFonts w:ascii="Garamond" w:hAnsi="Garamond"/>
        </w:rPr>
      </w:pPr>
      <w:r w:rsidRPr="001B1A4D">
        <w:rPr>
          <w:rFonts w:ascii="Garamond" w:hAnsi="Garamond"/>
          <w:b/>
          <w:bCs/>
        </w:rPr>
        <w:t>Waiting period before filing</w:t>
      </w:r>
      <w:r w:rsidRPr="001B1A4D">
        <w:rPr>
          <w:rFonts w:ascii="Garamond" w:hAnsi="Garamond"/>
        </w:rPr>
        <w:t>: None</w:t>
      </w:r>
      <w:r w:rsidR="000140B6">
        <w:rPr>
          <w:rFonts w:ascii="Garamond" w:hAnsi="Garamond"/>
        </w:rPr>
        <w:t xml:space="preserve">. However, ADR clauses </w:t>
      </w:r>
      <w:proofErr w:type="gramStart"/>
      <w:r w:rsidR="000140B6">
        <w:rPr>
          <w:rFonts w:ascii="Garamond" w:hAnsi="Garamond"/>
        </w:rPr>
        <w:t>likely</w:t>
      </w:r>
      <w:proofErr w:type="gramEnd"/>
      <w:r w:rsidR="000140B6">
        <w:rPr>
          <w:rFonts w:ascii="Garamond" w:hAnsi="Garamond"/>
        </w:rPr>
        <w:t xml:space="preserve"> to apply and if in </w:t>
      </w:r>
      <w:proofErr w:type="gramStart"/>
      <w:r w:rsidR="000140B6">
        <w:rPr>
          <w:rFonts w:ascii="Garamond" w:hAnsi="Garamond"/>
        </w:rPr>
        <w:t>Olmsted county</w:t>
      </w:r>
      <w:proofErr w:type="gramEnd"/>
      <w:r w:rsidR="000140B6">
        <w:rPr>
          <w:rFonts w:ascii="Garamond" w:hAnsi="Garamond"/>
        </w:rPr>
        <w:t xml:space="preserve">, </w:t>
      </w:r>
      <w:proofErr w:type="gramStart"/>
      <w:r w:rsidR="000140B6">
        <w:rPr>
          <w:rFonts w:ascii="Garamond" w:hAnsi="Garamond"/>
        </w:rPr>
        <w:t>probably</w:t>
      </w:r>
      <w:proofErr w:type="gramEnd"/>
      <w:r w:rsidR="000140B6">
        <w:rPr>
          <w:rFonts w:ascii="Garamond" w:hAnsi="Garamond"/>
        </w:rPr>
        <w:t xml:space="preserve"> </w:t>
      </w:r>
      <w:proofErr w:type="gramStart"/>
      <w:r w:rsidR="000140B6">
        <w:rPr>
          <w:rFonts w:ascii="Garamond" w:hAnsi="Garamond"/>
        </w:rPr>
        <w:t>have to</w:t>
      </w:r>
      <w:proofErr w:type="gramEnd"/>
      <w:r w:rsidR="000140B6">
        <w:rPr>
          <w:rFonts w:ascii="Garamond" w:hAnsi="Garamond"/>
        </w:rPr>
        <w:t xml:space="preserve"> go through PJCM process.</w:t>
      </w:r>
      <w:r w:rsidR="00142D80">
        <w:rPr>
          <w:rFonts w:ascii="Garamond" w:hAnsi="Garamond"/>
        </w:rPr>
        <w:t xml:space="preserve">  </w:t>
      </w:r>
    </w:p>
    <w:p w14:paraId="46C65FE7" w14:textId="548FE0DF" w:rsidR="00142D80" w:rsidRPr="001B1A4D" w:rsidRDefault="00142D80" w:rsidP="00B04712">
      <w:pPr>
        <w:spacing w:after="240" w:line="240" w:lineRule="auto"/>
        <w:rPr>
          <w:rFonts w:ascii="Garamond" w:hAnsi="Garamond"/>
        </w:rPr>
      </w:pPr>
      <w:r>
        <w:rPr>
          <w:rFonts w:ascii="Garamond" w:hAnsi="Garamond"/>
        </w:rPr>
        <w:t>There is also no specific waiting period between a parent filing a second motion to relocate if the first one is denied. Instead, th</w:t>
      </w:r>
      <w:r w:rsidRPr="00142D80">
        <w:rPr>
          <w:rFonts w:ascii="Garamond" w:hAnsi="Garamond"/>
        </w:rPr>
        <w:t>e threshold question should be whether any purported changes in circumstances since the denied motion were significant enough to require the district court to look beyond the decision denying relocation and consider the cumulative changes.</w:t>
      </w:r>
      <w:r w:rsidR="005558BB">
        <w:rPr>
          <w:rStyle w:val="FootnoteReference"/>
          <w:rFonts w:ascii="Garamond" w:hAnsi="Garamond"/>
        </w:rPr>
        <w:footnoteReference w:id="1"/>
      </w:r>
      <w:r w:rsidR="005558BB" w:rsidRPr="001B1A4D">
        <w:rPr>
          <w:rFonts w:ascii="Garamond" w:hAnsi="Garamond"/>
        </w:rPr>
        <w:t xml:space="preserve"> </w:t>
      </w:r>
    </w:p>
    <w:p w14:paraId="314D6A21" w14:textId="600C6F38" w:rsidR="001B1A4D" w:rsidRPr="001B1A4D" w:rsidRDefault="001B1A4D" w:rsidP="00B04712">
      <w:pPr>
        <w:spacing w:after="240" w:line="240" w:lineRule="auto"/>
        <w:rPr>
          <w:rFonts w:ascii="Garamond" w:hAnsi="Garamond"/>
          <w:b/>
          <w:bCs/>
        </w:rPr>
      </w:pPr>
      <w:r w:rsidRPr="001B1A4D">
        <w:rPr>
          <w:rFonts w:ascii="Garamond" w:hAnsi="Garamond"/>
          <w:b/>
          <w:bCs/>
        </w:rPr>
        <w:t xml:space="preserve">Required </w:t>
      </w:r>
      <w:r w:rsidR="00A72665">
        <w:rPr>
          <w:rFonts w:ascii="Garamond" w:hAnsi="Garamond"/>
          <w:b/>
          <w:bCs/>
        </w:rPr>
        <w:t>F</w:t>
      </w:r>
      <w:r w:rsidRPr="001B1A4D">
        <w:rPr>
          <w:rFonts w:ascii="Garamond" w:hAnsi="Garamond"/>
          <w:b/>
          <w:bCs/>
        </w:rPr>
        <w:t xml:space="preserve">indings / </w:t>
      </w:r>
      <w:r w:rsidR="00A72665">
        <w:rPr>
          <w:rFonts w:ascii="Garamond" w:hAnsi="Garamond"/>
          <w:b/>
          <w:bCs/>
        </w:rPr>
        <w:t>L</w:t>
      </w:r>
      <w:r w:rsidRPr="001B1A4D">
        <w:rPr>
          <w:rFonts w:ascii="Garamond" w:hAnsi="Garamond"/>
          <w:b/>
          <w:bCs/>
        </w:rPr>
        <w:t xml:space="preserve">egal </w:t>
      </w:r>
      <w:r w:rsidR="00A72665">
        <w:rPr>
          <w:rFonts w:ascii="Garamond" w:hAnsi="Garamond"/>
          <w:b/>
          <w:bCs/>
        </w:rPr>
        <w:t>S</w:t>
      </w:r>
      <w:r w:rsidRPr="001B1A4D">
        <w:rPr>
          <w:rFonts w:ascii="Garamond" w:hAnsi="Garamond"/>
          <w:b/>
          <w:bCs/>
        </w:rPr>
        <w:t>tandard</w:t>
      </w:r>
      <w:r w:rsidR="00814490">
        <w:rPr>
          <w:rFonts w:ascii="Garamond" w:hAnsi="Garamond"/>
          <w:b/>
          <w:bCs/>
        </w:rPr>
        <w:t>:</w:t>
      </w:r>
    </w:p>
    <w:p w14:paraId="60013DBA" w14:textId="442F8A52" w:rsidR="00964B86" w:rsidRPr="00964B86" w:rsidRDefault="001B1A4D" w:rsidP="00B04712">
      <w:pPr>
        <w:numPr>
          <w:ilvl w:val="0"/>
          <w:numId w:val="3"/>
        </w:numPr>
        <w:spacing w:after="240" w:line="240" w:lineRule="auto"/>
        <w:rPr>
          <w:rFonts w:ascii="Garamond" w:hAnsi="Garamond"/>
        </w:rPr>
      </w:pPr>
      <w:r w:rsidRPr="001B1A4D">
        <w:rPr>
          <w:rFonts w:ascii="Garamond" w:hAnsi="Garamond"/>
        </w:rPr>
        <w:t xml:space="preserve">If both parents have been awarded parenting time, the parent who the child </w:t>
      </w:r>
      <w:r w:rsidR="00233BA8">
        <w:rPr>
          <w:rFonts w:ascii="Garamond" w:hAnsi="Garamond"/>
        </w:rPr>
        <w:t xml:space="preserve">primarily </w:t>
      </w:r>
      <w:r w:rsidRPr="001B1A4D">
        <w:rPr>
          <w:rFonts w:ascii="Garamond" w:hAnsi="Garamond"/>
        </w:rPr>
        <w:t>lives with can’t move out of state without the other parent’s consent or a court order</w:t>
      </w:r>
      <w:r w:rsidR="00233BA8">
        <w:rPr>
          <w:rFonts w:ascii="Garamond" w:hAnsi="Garamond"/>
        </w:rPr>
        <w:t xml:space="preserve"> </w:t>
      </w:r>
      <w:r w:rsidR="00EC1E8D">
        <w:rPr>
          <w:rFonts w:ascii="Garamond" w:hAnsi="Garamond"/>
        </w:rPr>
        <w:t>(even if that parent has sole physical custody)</w:t>
      </w:r>
      <w:r w:rsidRPr="001B1A4D">
        <w:rPr>
          <w:rFonts w:ascii="Garamond" w:hAnsi="Garamond"/>
        </w:rPr>
        <w:t>.</w:t>
      </w:r>
    </w:p>
    <w:p w14:paraId="5ABE72E8" w14:textId="4A212641" w:rsidR="001B1A4D" w:rsidRPr="001B1A4D" w:rsidRDefault="001B1A4D" w:rsidP="00B04712">
      <w:pPr>
        <w:numPr>
          <w:ilvl w:val="0"/>
          <w:numId w:val="3"/>
        </w:numPr>
        <w:spacing w:after="240" w:line="240" w:lineRule="auto"/>
        <w:rPr>
          <w:rFonts w:ascii="Garamond" w:hAnsi="Garamond"/>
        </w:rPr>
      </w:pPr>
      <w:r w:rsidRPr="001B1A4D">
        <w:rPr>
          <w:rFonts w:ascii="Garamond" w:hAnsi="Garamond"/>
        </w:rPr>
        <w:t>Burden is on the parent requesting the move</w:t>
      </w:r>
      <w:r w:rsidR="00EC1E8D">
        <w:rPr>
          <w:rFonts w:ascii="Garamond" w:hAnsi="Garamond"/>
        </w:rPr>
        <w:t xml:space="preserve"> to show that the move is in the best interest of the child</w:t>
      </w:r>
      <w:r w:rsidRPr="001B1A4D">
        <w:rPr>
          <w:rFonts w:ascii="Garamond" w:hAnsi="Garamond"/>
        </w:rPr>
        <w:t>, UNLESS court finds there has been domestic abuse, then the burden shifts to the parent opposing the move</w:t>
      </w:r>
      <w:r w:rsidR="00233BA8">
        <w:rPr>
          <w:rFonts w:ascii="Garamond" w:hAnsi="Garamond"/>
        </w:rPr>
        <w:t>.</w:t>
      </w:r>
      <w:r w:rsidR="00233BA8">
        <w:rPr>
          <w:rStyle w:val="FootnoteReference"/>
          <w:rFonts w:ascii="Garamond" w:hAnsi="Garamond"/>
        </w:rPr>
        <w:footnoteReference w:id="2"/>
      </w:r>
      <w:r w:rsidR="00233BA8">
        <w:rPr>
          <w:rFonts w:ascii="Garamond" w:hAnsi="Garamond"/>
        </w:rPr>
        <w:t xml:space="preserve"> </w:t>
      </w:r>
    </w:p>
    <w:p w14:paraId="080BD260" w14:textId="1ADE7F16" w:rsidR="001B1A4D" w:rsidRPr="001B1A4D" w:rsidRDefault="001B1A4D" w:rsidP="00B04712">
      <w:pPr>
        <w:numPr>
          <w:ilvl w:val="0"/>
          <w:numId w:val="3"/>
        </w:numPr>
        <w:spacing w:after="240" w:line="240" w:lineRule="auto"/>
        <w:rPr>
          <w:rFonts w:ascii="Garamond" w:hAnsi="Garamond"/>
        </w:rPr>
      </w:pPr>
      <w:r>
        <w:rPr>
          <w:rFonts w:ascii="Garamond" w:hAnsi="Garamond"/>
        </w:rPr>
        <w:t>The Court shall be guided by:</w:t>
      </w:r>
    </w:p>
    <w:p w14:paraId="471F975C" w14:textId="6219BDAF" w:rsidR="001B1A4D" w:rsidRPr="001B1A4D" w:rsidRDefault="001B1A4D" w:rsidP="00B04712">
      <w:pPr>
        <w:numPr>
          <w:ilvl w:val="1"/>
          <w:numId w:val="3"/>
        </w:numPr>
        <w:spacing w:after="240" w:line="240" w:lineRule="auto"/>
        <w:rPr>
          <w:rFonts w:ascii="Garamond" w:hAnsi="Garamond"/>
        </w:rPr>
      </w:pPr>
      <w:r w:rsidRPr="001B1A4D">
        <w:rPr>
          <w:rFonts w:ascii="Garamond" w:hAnsi="Garamond"/>
        </w:rPr>
        <w:t>Is the reason for the move to interfere with parenting time? If so, the Court will deny</w:t>
      </w:r>
    </w:p>
    <w:p w14:paraId="50CD80F0" w14:textId="26FE73E6" w:rsidR="001B1A4D" w:rsidRPr="001B1A4D" w:rsidRDefault="00ED5937" w:rsidP="00B04712">
      <w:pPr>
        <w:numPr>
          <w:ilvl w:val="1"/>
          <w:numId w:val="3"/>
        </w:numPr>
        <w:spacing w:after="240" w:line="240" w:lineRule="auto"/>
        <w:rPr>
          <w:rFonts w:ascii="Garamond" w:hAnsi="Garamond"/>
        </w:rPr>
      </w:pPr>
      <w:r>
        <w:rPr>
          <w:rFonts w:ascii="Garamond" w:hAnsi="Garamond"/>
        </w:rPr>
        <w:t>Best</w:t>
      </w:r>
      <w:r w:rsidR="001B1A4D" w:rsidRPr="001B1A4D">
        <w:rPr>
          <w:rFonts w:ascii="Garamond" w:hAnsi="Garamond"/>
        </w:rPr>
        <w:t xml:space="preserve"> interest standards</w:t>
      </w:r>
      <w:r w:rsidR="00964B86">
        <w:rPr>
          <w:rStyle w:val="FootnoteReference"/>
          <w:rFonts w:ascii="Garamond" w:hAnsi="Garamond"/>
        </w:rPr>
        <w:footnoteReference w:id="3"/>
      </w:r>
      <w:r>
        <w:rPr>
          <w:rFonts w:ascii="Garamond" w:hAnsi="Garamond"/>
        </w:rPr>
        <w:t xml:space="preserve"> and consideration of the eight factors listed in </w:t>
      </w:r>
      <w:r w:rsidRPr="00ED5937">
        <w:rPr>
          <w:rFonts w:ascii="Garamond" w:hAnsi="Garamond"/>
        </w:rPr>
        <w:t> </w:t>
      </w:r>
      <w:hyperlink r:id="rId10" w:history="1">
        <w:r w:rsidRPr="00ED5937">
          <w:rPr>
            <w:rStyle w:val="Hyperlink"/>
            <w:rFonts w:ascii="Garamond" w:hAnsi="Garamond"/>
          </w:rPr>
          <w:t>Minn. Stat. § 518.175, subd. 3(</w:t>
        </w:r>
        <w:r>
          <w:rPr>
            <w:rStyle w:val="Hyperlink"/>
            <w:rFonts w:ascii="Garamond" w:hAnsi="Garamond"/>
          </w:rPr>
          <w:t>c</w:t>
        </w:r>
        <w:r w:rsidRPr="00ED5937">
          <w:rPr>
            <w:rStyle w:val="Hyperlink"/>
            <w:rFonts w:ascii="Garamond" w:hAnsi="Garamond"/>
          </w:rPr>
          <w:t>)</w:t>
        </w:r>
      </w:hyperlink>
      <w:r w:rsidRPr="00ED5937">
        <w:rPr>
          <w:rFonts w:ascii="Garamond" w:hAnsi="Garamond"/>
        </w:rPr>
        <w:t>.</w:t>
      </w:r>
      <w:r w:rsidR="001B1A4D" w:rsidRPr="001B1A4D">
        <w:rPr>
          <w:rFonts w:ascii="Garamond" w:hAnsi="Garamond"/>
        </w:rPr>
        <w:t>:</w:t>
      </w:r>
    </w:p>
    <w:p w14:paraId="3B178F83" w14:textId="61F4DFDF"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the nature, quality, extent of involvement, and duration of the child's relationship with the person proposing to relocate and with the nonrelocating person, siblings, and other significant </w:t>
      </w:r>
      <w:proofErr w:type="gramStart"/>
      <w:r w:rsidRPr="001B1A4D">
        <w:rPr>
          <w:rFonts w:ascii="Garamond" w:hAnsi="Garamond"/>
          <w:color w:val="000000"/>
        </w:rPr>
        <w:t>persons</w:t>
      </w:r>
      <w:proofErr w:type="gramEnd"/>
      <w:r w:rsidRPr="001B1A4D">
        <w:rPr>
          <w:rFonts w:ascii="Garamond" w:hAnsi="Garamond"/>
          <w:color w:val="000000"/>
        </w:rPr>
        <w:t xml:space="preserve"> in the child's </w:t>
      </w:r>
      <w:proofErr w:type="gramStart"/>
      <w:r w:rsidRPr="001B1A4D">
        <w:rPr>
          <w:rFonts w:ascii="Garamond" w:hAnsi="Garamond"/>
          <w:color w:val="000000"/>
        </w:rPr>
        <w:t>life;</w:t>
      </w:r>
      <w:proofErr w:type="gramEnd"/>
    </w:p>
    <w:p w14:paraId="11E9612C" w14:textId="10D59DFB"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the age, developmental stage, needs of the child, and the likely impact the relocation will have on the child's physical, educational, and emotional development, taking into consideration special needs of the </w:t>
      </w:r>
      <w:proofErr w:type="gramStart"/>
      <w:r w:rsidRPr="001B1A4D">
        <w:rPr>
          <w:rFonts w:ascii="Garamond" w:hAnsi="Garamond"/>
          <w:color w:val="000000"/>
        </w:rPr>
        <w:t>child;</w:t>
      </w:r>
      <w:proofErr w:type="gramEnd"/>
    </w:p>
    <w:p w14:paraId="41419187" w14:textId="6E1A517D"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the feasibility of preserving the relationship between the nonrelocating person and the child through suitable parenting time arrangements, considering the logistics and financial circumstances of the </w:t>
      </w:r>
      <w:proofErr w:type="gramStart"/>
      <w:r w:rsidRPr="001B1A4D">
        <w:rPr>
          <w:rFonts w:ascii="Garamond" w:hAnsi="Garamond"/>
          <w:color w:val="000000"/>
        </w:rPr>
        <w:t>parties;</w:t>
      </w:r>
      <w:proofErr w:type="gramEnd"/>
    </w:p>
    <w:p w14:paraId="0B78B8E5" w14:textId="02B5282B"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the child's preference, taking into consideration the age and maturity of the </w:t>
      </w:r>
      <w:proofErr w:type="gramStart"/>
      <w:r w:rsidRPr="001B1A4D">
        <w:rPr>
          <w:rFonts w:ascii="Garamond" w:hAnsi="Garamond"/>
          <w:color w:val="000000"/>
        </w:rPr>
        <w:t>child;</w:t>
      </w:r>
      <w:proofErr w:type="gramEnd"/>
    </w:p>
    <w:p w14:paraId="3159DC4B" w14:textId="7AD2A18E"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whether there is an established pattern of conduct of the person seeking the relocation either to promote or thwart the relationship of the child and the nonrelocating </w:t>
      </w:r>
      <w:proofErr w:type="gramStart"/>
      <w:r w:rsidRPr="001B1A4D">
        <w:rPr>
          <w:rFonts w:ascii="Garamond" w:hAnsi="Garamond"/>
          <w:color w:val="000000"/>
        </w:rPr>
        <w:t>person;</w:t>
      </w:r>
      <w:proofErr w:type="gramEnd"/>
    </w:p>
    <w:p w14:paraId="5F64FE70" w14:textId="7D8CBDAB"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 xml:space="preserve">whether the relocation of the child will enhance the general quality of the life for both the custodial parent seeking the relocation and the child including, but not limited to, financial or emotional benefit or educational </w:t>
      </w:r>
      <w:proofErr w:type="gramStart"/>
      <w:r w:rsidRPr="001B1A4D">
        <w:rPr>
          <w:rFonts w:ascii="Garamond" w:hAnsi="Garamond"/>
          <w:color w:val="000000"/>
        </w:rPr>
        <w:t>opportunity;</w:t>
      </w:r>
      <w:proofErr w:type="gramEnd"/>
    </w:p>
    <w:p w14:paraId="4081FCAF" w14:textId="1B554E6C"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the reasons of each person for seeking or opposing the relocation; and</w:t>
      </w:r>
    </w:p>
    <w:p w14:paraId="55C791ED" w14:textId="32AE3E1B" w:rsidR="001B1A4D" w:rsidRPr="001B1A4D" w:rsidRDefault="001B1A4D" w:rsidP="00B04712">
      <w:pPr>
        <w:pStyle w:val="in"/>
        <w:numPr>
          <w:ilvl w:val="2"/>
          <w:numId w:val="12"/>
        </w:numPr>
        <w:shd w:val="clear" w:color="auto" w:fill="FFFFFF"/>
        <w:spacing w:before="48" w:beforeAutospacing="0" w:after="240" w:afterAutospacing="0"/>
        <w:rPr>
          <w:rFonts w:ascii="Garamond" w:hAnsi="Garamond"/>
          <w:color w:val="000000"/>
        </w:rPr>
      </w:pPr>
      <w:r w:rsidRPr="001B1A4D">
        <w:rPr>
          <w:rFonts w:ascii="Garamond" w:hAnsi="Garamond"/>
          <w:color w:val="000000"/>
        </w:rPr>
        <w:t>the effect on the safety and welfare of the child, or of the parent requesting to move the child's residence, of domestic abuse, as defined in section </w:t>
      </w:r>
      <w:hyperlink r:id="rId11" w:history="1">
        <w:r w:rsidRPr="001B1A4D">
          <w:rPr>
            <w:rStyle w:val="Hyperlink"/>
            <w:rFonts w:ascii="Garamond" w:eastAsiaTheme="majorEastAsia" w:hAnsi="Garamond"/>
            <w:color w:val="2B6DAD"/>
          </w:rPr>
          <w:t>518B.01</w:t>
        </w:r>
      </w:hyperlink>
      <w:r w:rsidRPr="001B1A4D">
        <w:rPr>
          <w:rFonts w:ascii="Garamond" w:hAnsi="Garamond"/>
          <w:color w:val="000000"/>
        </w:rPr>
        <w:t>.</w:t>
      </w:r>
    </w:p>
    <w:p w14:paraId="01ED34A8" w14:textId="2B84A4D2" w:rsidR="001B1A4D" w:rsidRPr="001B1A4D" w:rsidRDefault="001B1A4D" w:rsidP="00B04712">
      <w:pPr>
        <w:spacing w:after="240" w:line="240" w:lineRule="auto"/>
        <w:rPr>
          <w:rFonts w:ascii="Garamond" w:hAnsi="Garamond"/>
          <w:b/>
          <w:bCs/>
        </w:rPr>
      </w:pPr>
      <w:r w:rsidRPr="001B1A4D">
        <w:rPr>
          <w:rFonts w:ascii="Garamond" w:hAnsi="Garamond"/>
          <w:b/>
          <w:bCs/>
        </w:rPr>
        <w:t xml:space="preserve">Notice </w:t>
      </w:r>
      <w:r>
        <w:rPr>
          <w:rFonts w:ascii="Garamond" w:hAnsi="Garamond"/>
          <w:b/>
          <w:bCs/>
        </w:rPr>
        <w:t>T</w:t>
      </w:r>
      <w:r w:rsidRPr="001B1A4D">
        <w:rPr>
          <w:rFonts w:ascii="Garamond" w:hAnsi="Garamond"/>
          <w:b/>
          <w:bCs/>
        </w:rPr>
        <w:t>imeline</w:t>
      </w:r>
      <w:r>
        <w:rPr>
          <w:rFonts w:ascii="Garamond" w:hAnsi="Garamond"/>
          <w:b/>
          <w:bCs/>
        </w:rPr>
        <w:t>:</w:t>
      </w:r>
      <w:r w:rsidRPr="001B1A4D">
        <w:rPr>
          <w:rFonts w:ascii="Garamond" w:hAnsi="Garamond"/>
          <w:b/>
          <w:bCs/>
        </w:rPr>
        <w:t> </w:t>
      </w:r>
      <w:r w:rsidRPr="001B1A4D">
        <w:rPr>
          <w:rFonts w:ascii="Garamond" w:hAnsi="Garamond"/>
        </w:rPr>
        <w:t xml:space="preserve">(Standard </w:t>
      </w:r>
      <w:r>
        <w:rPr>
          <w:rFonts w:ascii="Garamond" w:hAnsi="Garamond"/>
        </w:rPr>
        <w:t>Motion Timelines Apply</w:t>
      </w:r>
      <w:r w:rsidRPr="001B1A4D">
        <w:rPr>
          <w:rFonts w:ascii="Garamond" w:hAnsi="Garamond"/>
        </w:rPr>
        <w:t>)</w:t>
      </w:r>
    </w:p>
    <w:p w14:paraId="24C88A2B" w14:textId="6B3EB900" w:rsidR="001B1A4D" w:rsidRPr="00106F1D" w:rsidRDefault="001B1A4D" w:rsidP="00B04712">
      <w:pPr>
        <w:pStyle w:val="ListParagraph"/>
        <w:numPr>
          <w:ilvl w:val="0"/>
          <w:numId w:val="4"/>
        </w:numPr>
        <w:spacing w:after="240" w:line="240" w:lineRule="auto"/>
        <w:contextualSpacing w:val="0"/>
        <w:rPr>
          <w:rFonts w:ascii="Garamond" w:hAnsi="Garamond"/>
          <w:b/>
          <w:bCs/>
        </w:rPr>
      </w:pPr>
      <w:r w:rsidRPr="00106F1D">
        <w:rPr>
          <w:rFonts w:ascii="Garamond" w:hAnsi="Garamond"/>
        </w:rPr>
        <w:t xml:space="preserve">Once you obtain a hearing date, you must “promptly give written notice” </w:t>
      </w:r>
      <w:r w:rsidR="00397F7A">
        <w:rPr>
          <w:rFonts w:ascii="Garamond" w:hAnsi="Garamond"/>
        </w:rPr>
        <w:t xml:space="preserve">to the other party </w:t>
      </w:r>
      <w:r w:rsidRPr="00106F1D">
        <w:rPr>
          <w:rFonts w:ascii="Garamond" w:hAnsi="Garamond"/>
        </w:rPr>
        <w:t>of the date, time, judge, and primary issues.</w:t>
      </w:r>
      <w:r w:rsidR="003B0A01">
        <w:rPr>
          <w:rStyle w:val="FootnoteReference"/>
          <w:rFonts w:ascii="Garamond" w:hAnsi="Garamond"/>
        </w:rPr>
        <w:footnoteReference w:id="4"/>
      </w:r>
      <w:r w:rsidRPr="00106F1D">
        <w:rPr>
          <w:rFonts w:ascii="Garamond" w:hAnsi="Garamond"/>
        </w:rPr>
        <w:t xml:space="preserve"> </w:t>
      </w:r>
      <w:r w:rsidRPr="00106F1D">
        <w:rPr>
          <w:rFonts w:ascii="Garamond" w:hAnsi="Garamond"/>
          <w:b/>
          <w:bCs/>
        </w:rPr>
        <w:t>Rule 115.02; Rule 303</w:t>
      </w:r>
    </w:p>
    <w:p w14:paraId="31B34F65" w14:textId="77777777" w:rsidR="001B1A4D" w:rsidRPr="000140B6" w:rsidRDefault="001B1A4D" w:rsidP="00B04712">
      <w:pPr>
        <w:pStyle w:val="ListParagraph"/>
        <w:numPr>
          <w:ilvl w:val="0"/>
          <w:numId w:val="4"/>
        </w:numPr>
        <w:spacing w:after="240" w:line="240" w:lineRule="auto"/>
        <w:contextualSpacing w:val="0"/>
        <w:rPr>
          <w:rFonts w:ascii="Garamond" w:hAnsi="Garamond"/>
        </w:rPr>
      </w:pPr>
      <w:r w:rsidRPr="00106F1D">
        <w:rPr>
          <w:rFonts w:ascii="Garamond" w:hAnsi="Garamond"/>
        </w:rPr>
        <w:t xml:space="preserve">You must contact the other party within 7 days after filing the motion to talk about settling your case, including the use of alternative dispute resolution (ADR), including Early Neutral </w:t>
      </w:r>
      <w:r w:rsidRPr="000140B6">
        <w:rPr>
          <w:rFonts w:ascii="Garamond" w:hAnsi="Garamond"/>
        </w:rPr>
        <w:t>Evaluation (ENE) options. See Rule 303.03(c) MN Gen. Rules of Practice.</w:t>
      </w:r>
    </w:p>
    <w:p w14:paraId="4FD7CC61" w14:textId="78B9F2C4" w:rsidR="001B1A4D" w:rsidRDefault="001B1A4D" w:rsidP="00B04712">
      <w:pPr>
        <w:spacing w:after="240" w:line="240" w:lineRule="auto"/>
        <w:rPr>
          <w:rFonts w:ascii="Garamond" w:hAnsi="Garamond"/>
        </w:rPr>
      </w:pPr>
      <w:r w:rsidRPr="000140B6">
        <w:rPr>
          <w:rFonts w:ascii="Garamond" w:hAnsi="Garamond"/>
          <w:b/>
          <w:bCs/>
        </w:rPr>
        <w:t>Mandatory Hearing</w:t>
      </w:r>
      <w:r w:rsidR="000140B6" w:rsidRPr="000140B6">
        <w:rPr>
          <w:rFonts w:ascii="Garamond" w:hAnsi="Garamond"/>
          <w:b/>
          <w:bCs/>
        </w:rPr>
        <w:t>:</w:t>
      </w:r>
      <w:r w:rsidR="000140B6" w:rsidRPr="000140B6">
        <w:rPr>
          <w:rFonts w:ascii="Garamond" w:hAnsi="Garamond"/>
        </w:rPr>
        <w:t xml:space="preserve"> Yes, unless both parents agree to the move.</w:t>
      </w:r>
      <w:r w:rsidR="003E4F7F">
        <w:rPr>
          <w:rFonts w:ascii="Garamond" w:hAnsi="Garamond"/>
        </w:rPr>
        <w:t xml:space="preserve"> </w:t>
      </w:r>
      <w:r w:rsidR="00090469">
        <w:rPr>
          <w:rFonts w:ascii="Garamond" w:hAnsi="Garamond"/>
        </w:rPr>
        <w:t>However, an evidentiary hearing is NOT required.</w:t>
      </w:r>
      <w:r w:rsidR="00100C10">
        <w:rPr>
          <w:rStyle w:val="FootnoteReference"/>
          <w:rFonts w:ascii="Garamond" w:hAnsi="Garamond"/>
        </w:rPr>
        <w:footnoteReference w:id="5"/>
      </w:r>
    </w:p>
    <w:p w14:paraId="491933B5" w14:textId="0ED19511" w:rsidR="001B1A4D" w:rsidRPr="000140B6" w:rsidRDefault="001B1A4D" w:rsidP="00B04712">
      <w:pPr>
        <w:spacing w:after="240" w:line="240" w:lineRule="auto"/>
        <w:rPr>
          <w:rFonts w:ascii="Garamond" w:hAnsi="Garamond"/>
        </w:rPr>
      </w:pPr>
      <w:r w:rsidRPr="000140B6">
        <w:rPr>
          <w:rFonts w:ascii="Garamond" w:hAnsi="Garamond"/>
          <w:b/>
          <w:bCs/>
        </w:rPr>
        <w:t>Filing Fees:</w:t>
      </w:r>
      <w:r w:rsidRPr="000140B6">
        <w:rPr>
          <w:rFonts w:ascii="Garamond" w:hAnsi="Garamond"/>
        </w:rPr>
        <w:t xml:space="preserve"> Yes – motion filing fee. Varies by County, usually about $100</w:t>
      </w:r>
    </w:p>
    <w:p w14:paraId="258CB20D" w14:textId="480FD910" w:rsidR="001B1A4D" w:rsidRDefault="001B1A4D" w:rsidP="00B04712">
      <w:pPr>
        <w:spacing w:after="240" w:line="240" w:lineRule="auto"/>
        <w:rPr>
          <w:rFonts w:ascii="Garamond" w:hAnsi="Garamond"/>
          <w:b/>
          <w:bCs/>
        </w:rPr>
      </w:pPr>
      <w:r w:rsidRPr="000140B6">
        <w:rPr>
          <w:rFonts w:ascii="Garamond" w:hAnsi="Garamond"/>
          <w:b/>
          <w:bCs/>
        </w:rPr>
        <w:t>Required Documents</w:t>
      </w:r>
      <w:r w:rsidR="00814490">
        <w:rPr>
          <w:rFonts w:ascii="Garamond" w:hAnsi="Garamond"/>
          <w:b/>
          <w:bCs/>
        </w:rPr>
        <w:t>:</w:t>
      </w:r>
      <w:r w:rsidR="00D4246D">
        <w:rPr>
          <w:rFonts w:ascii="Garamond" w:hAnsi="Garamond"/>
        </w:rPr>
        <w:t xml:space="preserve"> No rules or statutes </w:t>
      </w:r>
      <w:r w:rsidR="00963FAC">
        <w:rPr>
          <w:rFonts w:ascii="Garamond" w:hAnsi="Garamond"/>
        </w:rPr>
        <w:t>outlines</w:t>
      </w:r>
      <w:r w:rsidR="005E5EA8">
        <w:rPr>
          <w:rFonts w:ascii="Garamond" w:hAnsi="Garamond"/>
        </w:rPr>
        <w:t xml:space="preserve"> specific documents required for motion to relocate. As such, general </w:t>
      </w:r>
      <w:r w:rsidR="00B57DF3">
        <w:rPr>
          <w:rFonts w:ascii="Garamond" w:hAnsi="Garamond"/>
        </w:rPr>
        <w:t xml:space="preserve">rules </w:t>
      </w:r>
      <w:r w:rsidR="00AC0A4B">
        <w:rPr>
          <w:rFonts w:ascii="Garamond" w:hAnsi="Garamond"/>
        </w:rPr>
        <w:t xml:space="preserve">guide and state that </w:t>
      </w:r>
      <w:r w:rsidR="008E2AC3">
        <w:rPr>
          <w:rFonts w:ascii="Garamond" w:hAnsi="Garamond"/>
        </w:rPr>
        <w:t>m</w:t>
      </w:r>
      <w:r w:rsidR="00AC0A4B" w:rsidRPr="00AC0A4B">
        <w:rPr>
          <w:rFonts w:ascii="Garamond" w:hAnsi="Garamond"/>
        </w:rPr>
        <w:t>otions shall be submitted on affidavits, exhibits, documents subpoenaed to the hearing, memoranda, and arguments of counsel</w:t>
      </w:r>
      <w:r w:rsidR="008E2AC3">
        <w:rPr>
          <w:rFonts w:ascii="Garamond" w:hAnsi="Garamond"/>
        </w:rPr>
        <w:t xml:space="preserve">. </w:t>
      </w:r>
    </w:p>
    <w:p w14:paraId="3A2AF415" w14:textId="79E84D2A" w:rsidR="00F453EE" w:rsidRPr="00106F1D" w:rsidRDefault="00F453EE" w:rsidP="00B04712">
      <w:pPr>
        <w:pStyle w:val="ListParagraph"/>
        <w:numPr>
          <w:ilvl w:val="0"/>
          <w:numId w:val="13"/>
        </w:numPr>
        <w:spacing w:after="240" w:line="240" w:lineRule="auto"/>
        <w:contextualSpacing w:val="0"/>
        <w:rPr>
          <w:rFonts w:ascii="Garamond" w:hAnsi="Garamond"/>
        </w:rPr>
      </w:pPr>
      <w:r w:rsidRPr="00106F1D">
        <w:rPr>
          <w:rFonts w:ascii="Garamond" w:hAnsi="Garamond"/>
          <w:b/>
          <w:bCs/>
        </w:rPr>
        <w:t>Notice of Motion</w:t>
      </w:r>
      <w:r w:rsidR="003873C4">
        <w:rPr>
          <w:rFonts w:ascii="Garamond" w:hAnsi="Garamond"/>
          <w:b/>
          <w:bCs/>
        </w:rPr>
        <w:t>:</w:t>
      </w:r>
      <w:r w:rsidRPr="00106F1D">
        <w:rPr>
          <w:rFonts w:ascii="Garamond" w:hAnsi="Garamond"/>
          <w:b/>
          <w:bCs/>
        </w:rPr>
        <w:t xml:space="preserve"> </w:t>
      </w:r>
      <w:r w:rsidRPr="00106F1D">
        <w:rPr>
          <w:rFonts w:ascii="Garamond" w:hAnsi="Garamond"/>
        </w:rPr>
        <w:t>which states the date, time, and place of the hearing, name of Judge, notice of time to respond, and sets out with particularity the relief requested in individually numbered paragraphs</w:t>
      </w:r>
    </w:p>
    <w:p w14:paraId="1CE2A0EC" w14:textId="1583A37A" w:rsidR="00F453EE" w:rsidRPr="00106F1D" w:rsidRDefault="00F453EE" w:rsidP="00B04712">
      <w:pPr>
        <w:pStyle w:val="ListParagraph"/>
        <w:numPr>
          <w:ilvl w:val="0"/>
          <w:numId w:val="13"/>
        </w:numPr>
        <w:spacing w:after="240" w:line="240" w:lineRule="auto"/>
        <w:contextualSpacing w:val="0"/>
        <w:rPr>
          <w:rFonts w:ascii="Garamond" w:hAnsi="Garamond"/>
        </w:rPr>
      </w:pPr>
      <w:r w:rsidRPr="00106F1D">
        <w:rPr>
          <w:rFonts w:ascii="Garamond" w:hAnsi="Garamond"/>
          <w:b/>
          <w:bCs/>
        </w:rPr>
        <w:t>Affidavits</w:t>
      </w:r>
      <w:r w:rsidR="00F44A3C">
        <w:rPr>
          <w:rFonts w:ascii="Garamond" w:hAnsi="Garamond"/>
          <w:b/>
          <w:bCs/>
        </w:rPr>
        <w:t>:</w:t>
      </w:r>
      <w:r w:rsidRPr="00106F1D">
        <w:rPr>
          <w:rFonts w:ascii="Garamond" w:hAnsi="Garamond"/>
          <w:b/>
          <w:bCs/>
        </w:rPr>
        <w:t xml:space="preserve"> </w:t>
      </w:r>
      <w:r w:rsidRPr="00106F1D">
        <w:rPr>
          <w:rFonts w:ascii="Garamond" w:hAnsi="Garamond"/>
        </w:rPr>
        <w:t>All motions must be supported by affidavits that contain facts relevant to the issues before the court.</w:t>
      </w:r>
    </w:p>
    <w:p w14:paraId="3D4448AA" w14:textId="560BAA1A" w:rsidR="00F453EE" w:rsidRPr="00106F1D" w:rsidRDefault="00F453EE" w:rsidP="00B04712">
      <w:pPr>
        <w:pStyle w:val="ListParagraph"/>
        <w:numPr>
          <w:ilvl w:val="0"/>
          <w:numId w:val="13"/>
        </w:numPr>
        <w:spacing w:after="240" w:line="240" w:lineRule="auto"/>
        <w:contextualSpacing w:val="0"/>
        <w:rPr>
          <w:rFonts w:ascii="Garamond" w:hAnsi="Garamond"/>
        </w:rPr>
      </w:pPr>
      <w:r w:rsidRPr="00106F1D">
        <w:rPr>
          <w:rFonts w:ascii="Garamond" w:hAnsi="Garamond"/>
          <w:b/>
          <w:bCs/>
        </w:rPr>
        <w:t xml:space="preserve">Exhibits: </w:t>
      </w:r>
      <w:r w:rsidRPr="00106F1D">
        <w:rPr>
          <w:rFonts w:ascii="Garamond" w:hAnsi="Garamond"/>
        </w:rPr>
        <w:t>Filed as “other document” or if confidential “Confidential information form 11.2 attachments</w:t>
      </w:r>
      <w:r w:rsidR="00A573FF">
        <w:rPr>
          <w:rFonts w:ascii="Garamond" w:hAnsi="Garamond"/>
        </w:rPr>
        <w:t>.</w:t>
      </w:r>
    </w:p>
    <w:p w14:paraId="7FA46DCE" w14:textId="627DFAE1" w:rsidR="00F453EE" w:rsidRPr="00106F1D" w:rsidRDefault="00F453EE" w:rsidP="00B04712">
      <w:pPr>
        <w:pStyle w:val="ListParagraph"/>
        <w:numPr>
          <w:ilvl w:val="0"/>
          <w:numId w:val="13"/>
        </w:numPr>
        <w:spacing w:after="240" w:line="240" w:lineRule="auto"/>
        <w:contextualSpacing w:val="0"/>
        <w:rPr>
          <w:rFonts w:ascii="Garamond" w:hAnsi="Garamond"/>
        </w:rPr>
      </w:pPr>
      <w:r w:rsidRPr="00106F1D">
        <w:rPr>
          <w:rFonts w:ascii="Garamond" w:hAnsi="Garamond"/>
          <w:b/>
          <w:bCs/>
        </w:rPr>
        <w:t>Cover Sheet for Non-Public Documents Form 11.2:</w:t>
      </w:r>
      <w:r w:rsidRPr="00106F1D">
        <w:rPr>
          <w:rFonts w:ascii="Garamond" w:hAnsi="Garamond"/>
        </w:rPr>
        <w:t xml:space="preserve"> if submitting financial documents as exhibits</w:t>
      </w:r>
      <w:r w:rsidR="00FD7969">
        <w:rPr>
          <w:rFonts w:ascii="Garamond" w:hAnsi="Garamond"/>
        </w:rPr>
        <w:t>.</w:t>
      </w:r>
    </w:p>
    <w:p w14:paraId="6EC47145" w14:textId="166397AA" w:rsidR="00F453EE" w:rsidRDefault="00F453EE" w:rsidP="00B04712">
      <w:pPr>
        <w:pStyle w:val="ListParagraph"/>
        <w:numPr>
          <w:ilvl w:val="0"/>
          <w:numId w:val="13"/>
        </w:numPr>
        <w:spacing w:after="240" w:line="240" w:lineRule="auto"/>
        <w:contextualSpacing w:val="0"/>
        <w:rPr>
          <w:rFonts w:ascii="Garamond" w:hAnsi="Garamond"/>
        </w:rPr>
      </w:pPr>
      <w:r w:rsidRPr="00106F1D">
        <w:rPr>
          <w:rFonts w:ascii="Garamond" w:hAnsi="Garamond"/>
          <w:b/>
          <w:bCs/>
        </w:rPr>
        <w:t>Memorandum of Law</w:t>
      </w:r>
      <w:r>
        <w:rPr>
          <w:rFonts w:ascii="Garamond" w:hAnsi="Garamond"/>
          <w:b/>
          <w:bCs/>
        </w:rPr>
        <w:t xml:space="preserve">: </w:t>
      </w:r>
      <w:r>
        <w:rPr>
          <w:rFonts w:ascii="Garamond" w:hAnsi="Garamond"/>
        </w:rPr>
        <w:t>M</w:t>
      </w:r>
      <w:r w:rsidRPr="00106F1D">
        <w:rPr>
          <w:rFonts w:ascii="Garamond" w:hAnsi="Garamond"/>
        </w:rPr>
        <w:t xml:space="preserve">oving party must </w:t>
      </w:r>
      <w:proofErr w:type="gramStart"/>
      <w:r w:rsidRPr="00106F1D">
        <w:rPr>
          <w:rFonts w:ascii="Garamond" w:hAnsi="Garamond"/>
        </w:rPr>
        <w:t>submit</w:t>
      </w:r>
      <w:proofErr w:type="gramEnd"/>
      <w:r w:rsidRPr="00106F1D">
        <w:rPr>
          <w:rFonts w:ascii="Garamond" w:hAnsi="Garamond"/>
        </w:rPr>
        <w:t xml:space="preserve"> 21 days prior to hearing</w:t>
      </w:r>
      <w:r>
        <w:rPr>
          <w:rFonts w:ascii="Garamond" w:hAnsi="Garamond"/>
        </w:rPr>
        <w:t>.</w:t>
      </w:r>
      <w:r w:rsidR="00BA21C0" w:rsidRPr="00BA21C0">
        <w:rPr>
          <w:rStyle w:val="FootnoteReference"/>
          <w:rFonts w:ascii="Garamond" w:hAnsi="Garamond"/>
        </w:rPr>
        <w:t xml:space="preserve"> </w:t>
      </w:r>
      <w:r w:rsidR="00BA21C0">
        <w:rPr>
          <w:rStyle w:val="FootnoteReference"/>
          <w:rFonts w:ascii="Garamond" w:hAnsi="Garamond"/>
        </w:rPr>
        <w:footnoteReference w:id="6"/>
      </w:r>
      <w:r>
        <w:rPr>
          <w:rFonts w:ascii="Garamond" w:hAnsi="Garamond"/>
        </w:rPr>
        <w:t xml:space="preserve"> </w:t>
      </w:r>
      <w:r w:rsidRPr="00106F1D">
        <w:rPr>
          <w:rFonts w:ascii="Garamond" w:hAnsi="Garamond"/>
        </w:rPr>
        <w:t>Rule 303.03</w:t>
      </w:r>
    </w:p>
    <w:p w14:paraId="013A4806" w14:textId="43B8AA5B" w:rsidR="00F453EE" w:rsidRPr="00106F1D" w:rsidRDefault="00F453EE" w:rsidP="00B04712">
      <w:pPr>
        <w:pStyle w:val="ListParagraph"/>
        <w:numPr>
          <w:ilvl w:val="0"/>
          <w:numId w:val="13"/>
        </w:numPr>
        <w:spacing w:after="240" w:line="240" w:lineRule="auto"/>
        <w:contextualSpacing w:val="0"/>
        <w:rPr>
          <w:rFonts w:ascii="Garamond" w:hAnsi="Garamond"/>
        </w:rPr>
      </w:pPr>
      <w:r>
        <w:rPr>
          <w:rFonts w:ascii="Garamond" w:hAnsi="Garamond"/>
          <w:b/>
          <w:bCs/>
        </w:rPr>
        <w:t xml:space="preserve">Certificate of Settlement Efforts: </w:t>
      </w:r>
      <w:r w:rsidRPr="00291F68">
        <w:rPr>
          <w:rFonts w:ascii="Garamond" w:hAnsi="Garamond"/>
        </w:rPr>
        <w:t>Moving party must file a</w:t>
      </w:r>
      <w:r>
        <w:rPr>
          <w:rFonts w:ascii="Garamond" w:hAnsi="Garamond"/>
          <w:b/>
          <w:bCs/>
        </w:rPr>
        <w:t xml:space="preserve"> </w:t>
      </w:r>
      <w:r w:rsidRPr="00291F68">
        <w:rPr>
          <w:rFonts w:ascii="Garamond" w:hAnsi="Garamond"/>
        </w:rPr>
        <w:t>Certificate of Settlement Efforts not later than 24 hours before the hearing. Unless excused by the Court for good cause, no motion shall be heard unless the parties have complied with this rule.</w:t>
      </w:r>
      <w:r>
        <w:rPr>
          <w:rFonts w:ascii="Garamond" w:hAnsi="Garamond"/>
        </w:rPr>
        <w:t xml:space="preserve"> Rule 303.03(c)</w:t>
      </w:r>
    </w:p>
    <w:p w14:paraId="6D332D5C" w14:textId="6F600B6A" w:rsidR="008E2AC3" w:rsidRDefault="008E2AC3" w:rsidP="00B04712">
      <w:pPr>
        <w:spacing w:after="240" w:line="240" w:lineRule="auto"/>
        <w:rPr>
          <w:rFonts w:ascii="Garamond" w:hAnsi="Garamond"/>
          <w:b/>
          <w:bCs/>
        </w:rPr>
      </w:pPr>
      <w:r>
        <w:rPr>
          <w:rFonts w:ascii="Garamond" w:hAnsi="Garamond"/>
          <w:b/>
          <w:bCs/>
        </w:rPr>
        <w:t xml:space="preserve">Oral Testimony: </w:t>
      </w:r>
      <w:r w:rsidRPr="008C7F6F">
        <w:rPr>
          <w:rFonts w:ascii="Garamond" w:hAnsi="Garamond"/>
        </w:rPr>
        <w:t>Rule 303.03(d)(2) Request for Leave for Oral Testimony. Requests for the taking of oral testimony must be made by motion served and filed not later than the filing of that party's initial motion documents. The motion shall include names of witnesses, nature and length of testimony, including cross-examination, and types of exhibits, if any.</w:t>
      </w:r>
    </w:p>
    <w:p w14:paraId="5E92C0FB" w14:textId="2830B2C9" w:rsidR="00D827B0" w:rsidRPr="00D827B0" w:rsidRDefault="00D827B0" w:rsidP="00B04712">
      <w:pPr>
        <w:spacing w:after="240" w:line="240" w:lineRule="auto"/>
        <w:rPr>
          <w:rFonts w:ascii="Garamond" w:hAnsi="Garamond"/>
          <w:b/>
          <w:bCs/>
        </w:rPr>
      </w:pPr>
      <w:r w:rsidRPr="00D827B0">
        <w:rPr>
          <w:rFonts w:ascii="Garamond" w:hAnsi="Garamond"/>
          <w:b/>
          <w:bCs/>
        </w:rPr>
        <w:t>Child Testimony:</w:t>
      </w:r>
      <w:r w:rsidRPr="00D827B0">
        <w:rPr>
          <w:rFonts w:ascii="Garamond" w:hAnsi="Garamond"/>
        </w:rPr>
        <w:t xml:space="preserve"> Any motion relating to custody or visitation shall additionally state whether either party desires the court to interview minor children. No child under the age of fourteen years will be allowed to testify without prior written notice to the other party and court approval.</w:t>
      </w:r>
      <w:r w:rsidR="006A178E">
        <w:rPr>
          <w:rStyle w:val="FootnoteReference"/>
          <w:rFonts w:ascii="Garamond" w:hAnsi="Garamond"/>
        </w:rPr>
        <w:footnoteReference w:id="7"/>
      </w:r>
      <w:r w:rsidRPr="00D827B0">
        <w:rPr>
          <w:rFonts w:ascii="Garamond" w:hAnsi="Garamond"/>
        </w:rPr>
        <w:t xml:space="preserve"> Rule 303.03 (d)(7)</w:t>
      </w:r>
    </w:p>
    <w:p w14:paraId="4C0C872D" w14:textId="4B53325E" w:rsidR="000140B6" w:rsidRPr="000140B6" w:rsidRDefault="000140B6" w:rsidP="00B04712">
      <w:pPr>
        <w:spacing w:after="240" w:line="240" w:lineRule="auto"/>
        <w:rPr>
          <w:rFonts w:ascii="Garamond" w:hAnsi="Garamond"/>
        </w:rPr>
      </w:pPr>
      <w:r w:rsidRPr="000140B6">
        <w:rPr>
          <w:rFonts w:ascii="Garamond" w:hAnsi="Garamond"/>
          <w:b/>
          <w:bCs/>
        </w:rPr>
        <w:t>Any unique issues by county/magistrate:</w:t>
      </w:r>
      <w:r w:rsidRPr="000140B6">
        <w:rPr>
          <w:rFonts w:ascii="Garamond" w:hAnsi="Garamond"/>
        </w:rPr>
        <w:t xml:space="preserve"> </w:t>
      </w:r>
      <w:r w:rsidR="0073602E">
        <w:rPr>
          <w:rFonts w:ascii="Garamond" w:hAnsi="Garamond"/>
        </w:rPr>
        <w:t xml:space="preserve">None that aren’t already addressed here. </w:t>
      </w:r>
    </w:p>
    <w:p w14:paraId="27293DCB" w14:textId="77777777" w:rsidR="0006263A" w:rsidRPr="001B1A4D" w:rsidRDefault="0006263A">
      <w:pPr>
        <w:rPr>
          <w:rFonts w:ascii="Garamond" w:hAnsi="Garamond"/>
        </w:rPr>
      </w:pPr>
    </w:p>
    <w:sectPr w:rsidR="0006263A" w:rsidRPr="001B1A4D" w:rsidSect="00FF01D0">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602F" w14:textId="77777777" w:rsidR="00881630" w:rsidRDefault="00881630" w:rsidP="00964B86">
      <w:pPr>
        <w:spacing w:after="0" w:line="240" w:lineRule="auto"/>
      </w:pPr>
      <w:r>
        <w:separator/>
      </w:r>
    </w:p>
  </w:endnote>
  <w:endnote w:type="continuationSeparator" w:id="0">
    <w:p w14:paraId="086F4672" w14:textId="77777777" w:rsidR="00881630" w:rsidRDefault="00881630" w:rsidP="0096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Garamond">
    <w:altName w:val="Cambria"/>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505A" w14:textId="77777777" w:rsidR="00881630" w:rsidRDefault="00881630" w:rsidP="00964B86">
      <w:pPr>
        <w:spacing w:after="0" w:line="240" w:lineRule="auto"/>
      </w:pPr>
      <w:r>
        <w:separator/>
      </w:r>
    </w:p>
  </w:footnote>
  <w:footnote w:type="continuationSeparator" w:id="0">
    <w:p w14:paraId="230F7834" w14:textId="77777777" w:rsidR="00881630" w:rsidRDefault="00881630" w:rsidP="00964B86">
      <w:pPr>
        <w:spacing w:after="0" w:line="240" w:lineRule="auto"/>
      </w:pPr>
      <w:r>
        <w:continuationSeparator/>
      </w:r>
    </w:p>
  </w:footnote>
  <w:footnote w:id="1">
    <w:p w14:paraId="2EB2A334" w14:textId="1F93DF66" w:rsidR="005558BB" w:rsidRDefault="005558BB">
      <w:pPr>
        <w:pStyle w:val="FootnoteText"/>
      </w:pPr>
      <w:r w:rsidRPr="005558BB">
        <w:rPr>
          <w:rStyle w:val="FootnoteReference"/>
          <w:b/>
          <w:bCs/>
        </w:rPr>
        <w:footnoteRef/>
      </w:r>
      <w:r>
        <w:t xml:space="preserve"> </w:t>
      </w:r>
      <w:r w:rsidRPr="00142D80">
        <w:rPr>
          <w:rFonts w:ascii="Garamond" w:hAnsi="Garamond"/>
        </w:rPr>
        <w:t> </w:t>
      </w:r>
      <w:r w:rsidRPr="00142D80">
        <w:rPr>
          <w:rFonts w:ascii="Garamond" w:hAnsi="Garamond"/>
          <w:i/>
          <w:iCs/>
        </w:rPr>
        <w:t>Cf. </w:t>
      </w:r>
      <w:hyperlink r:id="rId1" w:history="1">
        <w:r w:rsidRPr="00142D80">
          <w:rPr>
            <w:rStyle w:val="Hyperlink"/>
            <w:rFonts w:ascii="Garamond" w:hAnsi="Garamond"/>
            <w:i/>
            <w:iCs/>
          </w:rPr>
          <w:t>Phillips v. Phillips</w:t>
        </w:r>
        <w:r w:rsidRPr="00142D80">
          <w:rPr>
            <w:rStyle w:val="Hyperlink"/>
            <w:rFonts w:ascii="Garamond" w:hAnsi="Garamond"/>
          </w:rPr>
          <w:t>, 472 N.W.2d 677, 680 (Minn. App. 1991)</w:t>
        </w:r>
      </w:hyperlink>
    </w:p>
    <w:p w14:paraId="21A3A0B0" w14:textId="77777777" w:rsidR="00FC3472" w:rsidRDefault="00FC3472">
      <w:pPr>
        <w:pStyle w:val="FootnoteText"/>
      </w:pPr>
    </w:p>
  </w:footnote>
  <w:footnote w:id="2">
    <w:p w14:paraId="5ED432DC" w14:textId="2C079951" w:rsidR="00233BA8" w:rsidRPr="000544A5" w:rsidRDefault="00233BA8">
      <w:pPr>
        <w:pStyle w:val="FootnoteText"/>
        <w:rPr>
          <w:rFonts w:ascii="Garamond" w:hAnsi="Garamond"/>
          <w:sz w:val="18"/>
          <w:szCs w:val="18"/>
        </w:rPr>
      </w:pPr>
      <w:r w:rsidRPr="00BB2731">
        <w:rPr>
          <w:rStyle w:val="FootnoteReference"/>
          <w:b/>
          <w:bCs/>
        </w:rPr>
        <w:footnoteRef/>
      </w:r>
      <w:r w:rsidRPr="000544A5">
        <w:rPr>
          <w:sz w:val="18"/>
          <w:szCs w:val="18"/>
        </w:rPr>
        <w:t xml:space="preserve"> </w:t>
      </w:r>
      <w:r w:rsidRPr="000544A5">
        <w:rPr>
          <w:rFonts w:ascii="Garamond" w:hAnsi="Garamond"/>
          <w:sz w:val="18"/>
          <w:szCs w:val="18"/>
        </w:rPr>
        <w:t xml:space="preserve">This is different than older case law (specifically MN Supreme Court Case </w:t>
      </w:r>
      <w:r w:rsidRPr="000544A5">
        <w:rPr>
          <w:rFonts w:ascii="Garamond" w:hAnsi="Garamond"/>
          <w:i/>
          <w:iCs/>
          <w:sz w:val="18"/>
          <w:szCs w:val="18"/>
        </w:rPr>
        <w:t>Auge</w:t>
      </w:r>
      <w:r w:rsidRPr="000544A5">
        <w:rPr>
          <w:rFonts w:ascii="Garamond" w:hAnsi="Garamond"/>
          <w:sz w:val="18"/>
          <w:szCs w:val="18"/>
        </w:rPr>
        <w:t xml:space="preserve">) which said the burden was on the non-moving parent. This changed in 2006 when Minn. Stat. § 518.175, subd. 3 was revised. </w:t>
      </w:r>
      <w:r w:rsidR="000544A5" w:rsidRPr="000544A5">
        <w:rPr>
          <w:rFonts w:ascii="Garamond" w:hAnsi="Garamond"/>
          <w:sz w:val="18"/>
          <w:szCs w:val="18"/>
        </w:rPr>
        <w:t>You may still hear people reference the “Auge Standard” but that generally just means the best-interest standards outlined below.</w:t>
      </w:r>
    </w:p>
    <w:p w14:paraId="7B94242B" w14:textId="77777777" w:rsidR="000544A5" w:rsidRPr="000544A5" w:rsidRDefault="000544A5">
      <w:pPr>
        <w:pStyle w:val="FootnoteText"/>
        <w:rPr>
          <w:sz w:val="18"/>
          <w:szCs w:val="18"/>
        </w:rPr>
      </w:pPr>
    </w:p>
  </w:footnote>
  <w:footnote w:id="3">
    <w:p w14:paraId="02616C60" w14:textId="6DA3C737" w:rsidR="00964B86" w:rsidRPr="00233BA8" w:rsidRDefault="00964B86">
      <w:pPr>
        <w:pStyle w:val="FootnoteText"/>
        <w:rPr>
          <w:rFonts w:ascii="Garamond" w:hAnsi="Garamond"/>
        </w:rPr>
      </w:pPr>
      <w:r w:rsidRPr="00BB2731">
        <w:rPr>
          <w:rStyle w:val="FootnoteReference"/>
          <w:b/>
          <w:bCs/>
          <w:sz w:val="18"/>
          <w:szCs w:val="18"/>
        </w:rPr>
        <w:footnoteRef/>
      </w:r>
      <w:r w:rsidRPr="00BB2731">
        <w:rPr>
          <w:rStyle w:val="FootnoteReference"/>
          <w:b/>
          <w:bCs/>
        </w:rPr>
        <w:t xml:space="preserve"> </w:t>
      </w:r>
      <w:r w:rsidRPr="000544A5">
        <w:rPr>
          <w:rFonts w:ascii="Garamond" w:hAnsi="Garamond"/>
          <w:sz w:val="18"/>
          <w:szCs w:val="18"/>
        </w:rPr>
        <w:t xml:space="preserve">Children's interests </w:t>
      </w:r>
      <w:r w:rsidR="000544A5" w:rsidRPr="000544A5">
        <w:rPr>
          <w:rFonts w:ascii="Garamond" w:hAnsi="Garamond"/>
          <w:sz w:val="18"/>
          <w:szCs w:val="18"/>
        </w:rPr>
        <w:t>can be</w:t>
      </w:r>
      <w:r w:rsidRPr="000544A5">
        <w:rPr>
          <w:rFonts w:ascii="Garamond" w:hAnsi="Garamond"/>
          <w:sz w:val="18"/>
          <w:szCs w:val="18"/>
        </w:rPr>
        <w:t xml:space="preserve"> considered in the context of what is best for the </w:t>
      </w:r>
      <w:r w:rsidRPr="000544A5">
        <w:rPr>
          <w:rFonts w:ascii="Garamond" w:hAnsi="Garamond"/>
          <w:i/>
          <w:iCs/>
          <w:sz w:val="18"/>
          <w:szCs w:val="18"/>
        </w:rPr>
        <w:t>family unit</w:t>
      </w:r>
      <w:r w:rsidRPr="000544A5">
        <w:rPr>
          <w:rFonts w:ascii="Garamond" w:hAnsi="Garamond"/>
          <w:sz w:val="18"/>
          <w:szCs w:val="18"/>
        </w:rPr>
        <w:t> made up of the children and the custodial parent.</w:t>
      </w:r>
      <w:r w:rsidRPr="00233BA8">
        <w:rPr>
          <w:rFonts w:ascii="Garamond" w:hAnsi="Garamond"/>
        </w:rPr>
        <w:t> </w:t>
      </w:r>
    </w:p>
  </w:footnote>
  <w:footnote w:id="4">
    <w:p w14:paraId="0BDCAEE2" w14:textId="2B18FABD" w:rsidR="003B0A01" w:rsidRDefault="003B0A01" w:rsidP="00FC3472">
      <w:pPr>
        <w:pStyle w:val="FootnoteText"/>
        <w:jc w:val="both"/>
        <w:rPr>
          <w:rFonts w:ascii="Garamond" w:hAnsi="Garamond"/>
          <w:sz w:val="18"/>
          <w:szCs w:val="18"/>
        </w:rPr>
      </w:pPr>
      <w:r w:rsidRPr="00BB2731">
        <w:rPr>
          <w:rStyle w:val="FootnoteReference"/>
          <w:b/>
          <w:bCs/>
        </w:rPr>
        <w:footnoteRef/>
      </w:r>
      <w:r>
        <w:t xml:space="preserve"> </w:t>
      </w:r>
      <w:r w:rsidRPr="00881A30">
        <w:rPr>
          <w:rFonts w:ascii="Garamond" w:hAnsi="Garamond"/>
          <w:sz w:val="18"/>
          <w:szCs w:val="18"/>
        </w:rPr>
        <w:t>Per Advisory Committee Comments: "Promptly" is intentionally not rigidly defined, but notice should be sent the same day the hearing date is obtained. [Requiring prompt notification] is intended primarily to prevent a party from obtaining a hearing date and time weeks in advance of a hearing but then delaying giving notice until shortly before the hearing. This practice appears to give an unnecessary tactical advantage to one side. Additionally, by requiring that more than the minimum notice be given in many cases, it will be possible for the responding parties to set on for hearing any additional motions they may have. This may result in the more efficient hearing of multiple motions on a single hearing date.</w:t>
      </w:r>
    </w:p>
    <w:p w14:paraId="56FBEE9B" w14:textId="77777777" w:rsidR="00BB2731" w:rsidRDefault="00BB2731" w:rsidP="00FC3472">
      <w:pPr>
        <w:pStyle w:val="FootnoteText"/>
        <w:jc w:val="both"/>
      </w:pPr>
    </w:p>
  </w:footnote>
  <w:footnote w:id="5">
    <w:p w14:paraId="44CE1465" w14:textId="2E26BA0E" w:rsidR="00100C10" w:rsidRDefault="00100C10" w:rsidP="00FC3472">
      <w:pPr>
        <w:pStyle w:val="FootnoteText"/>
        <w:jc w:val="both"/>
        <w:rPr>
          <w:rFonts w:ascii="Garamond" w:hAnsi="Garamond"/>
          <w:sz w:val="18"/>
          <w:szCs w:val="18"/>
        </w:rPr>
      </w:pPr>
      <w:r w:rsidRPr="00BB2731">
        <w:rPr>
          <w:rStyle w:val="FootnoteReference"/>
          <w:b/>
          <w:bCs/>
        </w:rPr>
        <w:footnoteRef/>
      </w:r>
      <w:r w:rsidRPr="00BB2731">
        <w:rPr>
          <w:rStyle w:val="FootnoteReference"/>
        </w:rPr>
        <w:t xml:space="preserve"> </w:t>
      </w:r>
      <w:r w:rsidRPr="00BA2869">
        <w:rPr>
          <w:rFonts w:ascii="Garamond" w:hAnsi="Garamond"/>
          <w:sz w:val="18"/>
          <w:szCs w:val="18"/>
        </w:rPr>
        <w:t>The statutory section governing removal motions does not impose a requirement on district courts to hold an evidentiary hearing. </w:t>
      </w:r>
      <w:r w:rsidRPr="00BA2869">
        <w:rPr>
          <w:rFonts w:ascii="Garamond" w:hAnsi="Garamond"/>
          <w:i/>
          <w:iCs/>
          <w:sz w:val="18"/>
          <w:szCs w:val="18"/>
        </w:rPr>
        <w:t>See</w:t>
      </w:r>
      <w:r w:rsidRPr="00BA2869">
        <w:rPr>
          <w:rFonts w:ascii="Garamond" w:hAnsi="Garamond"/>
          <w:sz w:val="18"/>
          <w:szCs w:val="18"/>
        </w:rPr>
        <w:t> </w:t>
      </w:r>
      <w:hyperlink r:id="rId2" w:history="1">
        <w:r w:rsidRPr="00BA2869">
          <w:rPr>
            <w:rStyle w:val="Hyperlink"/>
            <w:rFonts w:ascii="Garamond" w:hAnsi="Garamond"/>
            <w:sz w:val="18"/>
            <w:szCs w:val="18"/>
          </w:rPr>
          <w:t>Minn. Stat. § 518.175, subd. 3</w:t>
        </w:r>
      </w:hyperlink>
      <w:r w:rsidRPr="00BA2869">
        <w:rPr>
          <w:rFonts w:ascii="Garamond" w:hAnsi="Garamond"/>
          <w:sz w:val="18"/>
          <w:szCs w:val="18"/>
        </w:rPr>
        <w:t> (2012</w:t>
      </w:r>
      <w:r w:rsidR="00F2358D">
        <w:rPr>
          <w:rFonts w:ascii="Garamond" w:hAnsi="Garamond"/>
          <w:sz w:val="18"/>
          <w:szCs w:val="18"/>
        </w:rPr>
        <w:t xml:space="preserve">). </w:t>
      </w:r>
      <w:r w:rsidR="00CE3C24" w:rsidRPr="00BA2869">
        <w:rPr>
          <w:rFonts w:ascii="Garamond" w:hAnsi="Garamond"/>
          <w:sz w:val="18"/>
          <w:szCs w:val="18"/>
        </w:rPr>
        <w:t xml:space="preserve">Although </w:t>
      </w:r>
      <w:r w:rsidR="00AB5D00" w:rsidRPr="00BA2869">
        <w:rPr>
          <w:rFonts w:ascii="Garamond" w:hAnsi="Garamond"/>
          <w:sz w:val="18"/>
          <w:szCs w:val="18"/>
        </w:rPr>
        <w:t xml:space="preserve">custody modifications require an evidentiary hearing if the moving party makes a prima facie case for modification, </w:t>
      </w:r>
      <w:r w:rsidR="00E82D15" w:rsidRPr="00BA2869">
        <w:rPr>
          <w:rFonts w:ascii="Garamond" w:hAnsi="Garamond"/>
          <w:sz w:val="18"/>
          <w:szCs w:val="18"/>
        </w:rPr>
        <w:t> the provision that making a prima facie case for relief entitles the moving party to an evidentiary hearing has not been extended to motions for removal under </w:t>
      </w:r>
      <w:hyperlink r:id="rId3" w:history="1">
        <w:r w:rsidR="00E82D15" w:rsidRPr="00BA2869">
          <w:rPr>
            <w:rStyle w:val="Hyperlink"/>
            <w:rFonts w:ascii="Garamond" w:hAnsi="Garamond"/>
            <w:sz w:val="18"/>
            <w:szCs w:val="18"/>
          </w:rPr>
          <w:t>Minn. Stat § 518.175, subd. 3</w:t>
        </w:r>
      </w:hyperlink>
      <w:r w:rsidR="00E82D15" w:rsidRPr="00BA2869">
        <w:rPr>
          <w:rFonts w:ascii="Garamond" w:hAnsi="Garamond"/>
          <w:sz w:val="18"/>
          <w:szCs w:val="18"/>
        </w:rPr>
        <w:t>. </w:t>
      </w:r>
      <w:r w:rsidR="00E82D15" w:rsidRPr="00BA2869">
        <w:rPr>
          <w:rFonts w:ascii="Garamond" w:hAnsi="Garamond"/>
          <w:i/>
          <w:iCs/>
          <w:sz w:val="18"/>
          <w:szCs w:val="18"/>
        </w:rPr>
        <w:t>See </w:t>
      </w:r>
      <w:hyperlink r:id="rId4" w:history="1">
        <w:r w:rsidR="00E82D15" w:rsidRPr="00BA2869">
          <w:rPr>
            <w:rStyle w:val="Hyperlink"/>
            <w:rFonts w:ascii="Garamond" w:hAnsi="Garamond"/>
            <w:i/>
            <w:iCs/>
            <w:sz w:val="18"/>
            <w:szCs w:val="18"/>
          </w:rPr>
          <w:t>Goldman</w:t>
        </w:r>
        <w:r w:rsidR="00E82D15" w:rsidRPr="00BA2869">
          <w:rPr>
            <w:rStyle w:val="Hyperlink"/>
            <w:rFonts w:ascii="Garamond" w:hAnsi="Garamond"/>
            <w:sz w:val="18"/>
            <w:szCs w:val="18"/>
          </w:rPr>
          <w:t>, 784 N.W.2d. at 282-84</w:t>
        </w:r>
      </w:hyperlink>
      <w:r w:rsidR="00E82D15" w:rsidRPr="00BA2869">
        <w:rPr>
          <w:rFonts w:ascii="Garamond" w:hAnsi="Garamond"/>
          <w:sz w:val="18"/>
          <w:szCs w:val="18"/>
        </w:rPr>
        <w:t> (holding that modification of a custody order with a locale restriction, a restriction limiting custody to a party on the condition that the party remain with the child in a certain location, is governed by </w:t>
      </w:r>
      <w:hyperlink r:id="rId5" w:history="1">
        <w:r w:rsidR="00E82D15" w:rsidRPr="00BA2869">
          <w:rPr>
            <w:rStyle w:val="Hyperlink"/>
            <w:rFonts w:ascii="Garamond" w:hAnsi="Garamond"/>
            <w:sz w:val="18"/>
            <w:szCs w:val="18"/>
          </w:rPr>
          <w:t>Minn. Stat. § 518.18(d)</w:t>
        </w:r>
      </w:hyperlink>
      <w:r w:rsidR="00E82D15" w:rsidRPr="00BA2869">
        <w:rPr>
          <w:rFonts w:ascii="Garamond" w:hAnsi="Garamond"/>
          <w:sz w:val="18"/>
          <w:szCs w:val="18"/>
        </w:rPr>
        <w:t>).</w:t>
      </w:r>
    </w:p>
    <w:p w14:paraId="4EFD4DAA" w14:textId="77777777" w:rsidR="00FC3472" w:rsidRPr="00BA2869" w:rsidRDefault="00FC3472" w:rsidP="00FC3472">
      <w:pPr>
        <w:pStyle w:val="FootnoteText"/>
        <w:jc w:val="both"/>
        <w:rPr>
          <w:rFonts w:ascii="Garamond" w:hAnsi="Garamond"/>
          <w:sz w:val="18"/>
          <w:szCs w:val="18"/>
        </w:rPr>
      </w:pPr>
    </w:p>
  </w:footnote>
  <w:footnote w:id="6">
    <w:p w14:paraId="39CD5C88" w14:textId="77777777" w:rsidR="00BA21C0" w:rsidRDefault="00BA21C0" w:rsidP="00FC3472">
      <w:pPr>
        <w:pStyle w:val="FootnoteText"/>
        <w:jc w:val="both"/>
      </w:pPr>
      <w:r w:rsidRPr="00DD3651">
        <w:rPr>
          <w:rStyle w:val="FootnoteReference"/>
          <w:b/>
          <w:bCs/>
        </w:rPr>
        <w:footnoteRef/>
      </w:r>
      <w:r w:rsidRPr="00DD3651">
        <w:rPr>
          <w:b/>
          <w:bCs/>
        </w:rPr>
        <w:t xml:space="preserve"> </w:t>
      </w:r>
      <w:r w:rsidRPr="00CD2EB3">
        <w:rPr>
          <w:rFonts w:ascii="Garamond" w:hAnsi="Garamond"/>
          <w:sz w:val="18"/>
          <w:szCs w:val="18"/>
        </w:rPr>
        <w:t xml:space="preserve">In practice, it is not incredibly common for MOLs to be filed with </w:t>
      </w:r>
      <w:proofErr w:type="gramStart"/>
      <w:r w:rsidRPr="00CD2EB3">
        <w:rPr>
          <w:rFonts w:ascii="Garamond" w:hAnsi="Garamond"/>
          <w:sz w:val="18"/>
          <w:szCs w:val="18"/>
        </w:rPr>
        <w:t>motions</w:t>
      </w:r>
      <w:r>
        <w:rPr>
          <w:rFonts w:ascii="Garamond" w:hAnsi="Garamond"/>
          <w:sz w:val="18"/>
          <w:szCs w:val="18"/>
        </w:rPr>
        <w:t>, but</w:t>
      </w:r>
      <w:proofErr w:type="gramEnd"/>
      <w:r>
        <w:rPr>
          <w:rFonts w:ascii="Garamond" w:hAnsi="Garamond"/>
          <w:sz w:val="18"/>
          <w:szCs w:val="18"/>
        </w:rPr>
        <w:t xml:space="preserve"> may be beneficial in Motion to Relocate.</w:t>
      </w:r>
    </w:p>
  </w:footnote>
  <w:footnote w:id="7">
    <w:p w14:paraId="6F477E85" w14:textId="2057F616" w:rsidR="006A178E" w:rsidRDefault="006A178E">
      <w:pPr>
        <w:pStyle w:val="FootnoteText"/>
      </w:pPr>
      <w:r w:rsidRPr="00194D41">
        <w:rPr>
          <w:rStyle w:val="FootnoteReference"/>
          <w:b/>
          <w:bCs/>
        </w:rPr>
        <w:footnoteRef/>
      </w:r>
      <w:r>
        <w:t xml:space="preserve"> </w:t>
      </w:r>
      <w:r w:rsidRPr="006A178E">
        <w:rPr>
          <w:rFonts w:ascii="Garamond" w:hAnsi="Garamond"/>
          <w:sz w:val="18"/>
          <w:szCs w:val="18"/>
        </w:rPr>
        <w:t>I don’t think this is common</w:t>
      </w:r>
      <w:r w:rsidR="00194D41">
        <w:rPr>
          <w:rFonts w:ascii="Garamond" w:hAnsi="Garamond"/>
          <w:sz w:val="18"/>
          <w:szCs w:val="18"/>
        </w:rPr>
        <w:t xml:space="preserve"> in practice</w:t>
      </w:r>
      <w:r w:rsidRPr="006A178E">
        <w:rPr>
          <w:rFonts w:ascii="Garamond" w:hAnsi="Garamond"/>
          <w:sz w:val="18"/>
          <w:szCs w:val="18"/>
        </w:rPr>
        <w:t>; never seen it before.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618C"/>
    <w:multiLevelType w:val="multilevel"/>
    <w:tmpl w:val="27A2F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C762B"/>
    <w:multiLevelType w:val="multilevel"/>
    <w:tmpl w:val="CF9E55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70129"/>
    <w:multiLevelType w:val="hybridMultilevel"/>
    <w:tmpl w:val="61A0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C3AE6"/>
    <w:multiLevelType w:val="multilevel"/>
    <w:tmpl w:val="CA3E5E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b/>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B040A8"/>
    <w:multiLevelType w:val="multilevel"/>
    <w:tmpl w:val="583EA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5A7C3C"/>
    <w:multiLevelType w:val="multilevel"/>
    <w:tmpl w:val="BA92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583043"/>
    <w:multiLevelType w:val="multilevel"/>
    <w:tmpl w:val="797AC4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7A095F"/>
    <w:multiLevelType w:val="hybridMultilevel"/>
    <w:tmpl w:val="C63EE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94414"/>
    <w:multiLevelType w:val="multilevel"/>
    <w:tmpl w:val="E9285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E76709"/>
    <w:multiLevelType w:val="multilevel"/>
    <w:tmpl w:val="33BC2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A43445"/>
    <w:multiLevelType w:val="multilevel"/>
    <w:tmpl w:val="FEBAB8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2D4503"/>
    <w:multiLevelType w:val="multilevel"/>
    <w:tmpl w:val="B2A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5B07D5"/>
    <w:multiLevelType w:val="multilevel"/>
    <w:tmpl w:val="D0DE7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407514">
    <w:abstractNumId w:val="8"/>
  </w:num>
  <w:num w:numId="2" w16cid:durableId="2009941813">
    <w:abstractNumId w:val="11"/>
  </w:num>
  <w:num w:numId="3" w16cid:durableId="753938379">
    <w:abstractNumId w:val="0"/>
  </w:num>
  <w:num w:numId="4" w16cid:durableId="583757426">
    <w:abstractNumId w:val="4"/>
  </w:num>
  <w:num w:numId="5" w16cid:durableId="612906138">
    <w:abstractNumId w:val="9"/>
  </w:num>
  <w:num w:numId="6" w16cid:durableId="60833483">
    <w:abstractNumId w:val="5"/>
  </w:num>
  <w:num w:numId="7" w16cid:durableId="66921393">
    <w:abstractNumId w:val="6"/>
  </w:num>
  <w:num w:numId="8" w16cid:durableId="7030934">
    <w:abstractNumId w:val="10"/>
  </w:num>
  <w:num w:numId="9" w16cid:durableId="693455385">
    <w:abstractNumId w:val="12"/>
  </w:num>
  <w:num w:numId="10" w16cid:durableId="243993438">
    <w:abstractNumId w:val="7"/>
  </w:num>
  <w:num w:numId="11" w16cid:durableId="539785813">
    <w:abstractNumId w:val="1"/>
  </w:num>
  <w:num w:numId="12" w16cid:durableId="1511405513">
    <w:abstractNumId w:val="3"/>
  </w:num>
  <w:num w:numId="13" w16cid:durableId="825165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4D"/>
    <w:rsid w:val="000140B6"/>
    <w:rsid w:val="000214B0"/>
    <w:rsid w:val="00022AB2"/>
    <w:rsid w:val="00024098"/>
    <w:rsid w:val="000544A5"/>
    <w:rsid w:val="0006014B"/>
    <w:rsid w:val="0006263A"/>
    <w:rsid w:val="00090469"/>
    <w:rsid w:val="000D6D24"/>
    <w:rsid w:val="00100C10"/>
    <w:rsid w:val="001238D4"/>
    <w:rsid w:val="001367B9"/>
    <w:rsid w:val="00142D80"/>
    <w:rsid w:val="001719CD"/>
    <w:rsid w:val="00177A44"/>
    <w:rsid w:val="00194D41"/>
    <w:rsid w:val="001B1A4D"/>
    <w:rsid w:val="00233BA8"/>
    <w:rsid w:val="002348F0"/>
    <w:rsid w:val="00250221"/>
    <w:rsid w:val="00255CF1"/>
    <w:rsid w:val="0038435A"/>
    <w:rsid w:val="003873C4"/>
    <w:rsid w:val="00391D46"/>
    <w:rsid w:val="00397F7A"/>
    <w:rsid w:val="003B0A01"/>
    <w:rsid w:val="003E4F7F"/>
    <w:rsid w:val="003F7275"/>
    <w:rsid w:val="00413CC5"/>
    <w:rsid w:val="00452D81"/>
    <w:rsid w:val="004633A8"/>
    <w:rsid w:val="0049721E"/>
    <w:rsid w:val="004F3D2E"/>
    <w:rsid w:val="005558BB"/>
    <w:rsid w:val="00590614"/>
    <w:rsid w:val="005D3744"/>
    <w:rsid w:val="005D64FF"/>
    <w:rsid w:val="005E5EA8"/>
    <w:rsid w:val="005F7188"/>
    <w:rsid w:val="00616C15"/>
    <w:rsid w:val="0062256D"/>
    <w:rsid w:val="006A178E"/>
    <w:rsid w:val="00703E5B"/>
    <w:rsid w:val="0073602E"/>
    <w:rsid w:val="007A3509"/>
    <w:rsid w:val="00814490"/>
    <w:rsid w:val="008444B3"/>
    <w:rsid w:val="00865A51"/>
    <w:rsid w:val="008678C3"/>
    <w:rsid w:val="00881630"/>
    <w:rsid w:val="008A4861"/>
    <w:rsid w:val="008A53DA"/>
    <w:rsid w:val="008C7F6F"/>
    <w:rsid w:val="008E2AC3"/>
    <w:rsid w:val="008E7DB8"/>
    <w:rsid w:val="00960968"/>
    <w:rsid w:val="00963FAC"/>
    <w:rsid w:val="00964B86"/>
    <w:rsid w:val="00A05CFD"/>
    <w:rsid w:val="00A43EE2"/>
    <w:rsid w:val="00A573FF"/>
    <w:rsid w:val="00A72665"/>
    <w:rsid w:val="00AB5D00"/>
    <w:rsid w:val="00AC0A4B"/>
    <w:rsid w:val="00AD4046"/>
    <w:rsid w:val="00B04712"/>
    <w:rsid w:val="00B44225"/>
    <w:rsid w:val="00B50D82"/>
    <w:rsid w:val="00B57DF3"/>
    <w:rsid w:val="00B6691B"/>
    <w:rsid w:val="00B91367"/>
    <w:rsid w:val="00BA21C0"/>
    <w:rsid w:val="00BA2869"/>
    <w:rsid w:val="00BB2731"/>
    <w:rsid w:val="00C041A1"/>
    <w:rsid w:val="00C35B51"/>
    <w:rsid w:val="00CB5FF7"/>
    <w:rsid w:val="00CE3C24"/>
    <w:rsid w:val="00D4246D"/>
    <w:rsid w:val="00D827B0"/>
    <w:rsid w:val="00DA3C52"/>
    <w:rsid w:val="00DD7CAF"/>
    <w:rsid w:val="00E473FF"/>
    <w:rsid w:val="00E4782C"/>
    <w:rsid w:val="00E82D15"/>
    <w:rsid w:val="00EC1E8D"/>
    <w:rsid w:val="00ED5937"/>
    <w:rsid w:val="00EF153C"/>
    <w:rsid w:val="00F2358D"/>
    <w:rsid w:val="00F44A3C"/>
    <w:rsid w:val="00F453EE"/>
    <w:rsid w:val="00F95FFC"/>
    <w:rsid w:val="00FA15CF"/>
    <w:rsid w:val="00FC3472"/>
    <w:rsid w:val="00FD7969"/>
    <w:rsid w:val="00FE6115"/>
    <w:rsid w:val="00FF0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F049"/>
  <w15:chartTrackingRefBased/>
  <w15:docId w15:val="{47AAEA99-88B1-46DF-AA75-FE9611A5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4D"/>
  </w:style>
  <w:style w:type="paragraph" w:styleId="Heading1">
    <w:name w:val="heading 1"/>
    <w:basedOn w:val="Normal"/>
    <w:next w:val="Normal"/>
    <w:link w:val="Heading1Char"/>
    <w:uiPriority w:val="9"/>
    <w:qFormat/>
    <w:rsid w:val="001B1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A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A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A4D"/>
    <w:rPr>
      <w:rFonts w:eastAsiaTheme="majorEastAsia" w:cstheme="majorBidi"/>
      <w:color w:val="272727" w:themeColor="text1" w:themeTint="D8"/>
    </w:rPr>
  </w:style>
  <w:style w:type="paragraph" w:styleId="Title">
    <w:name w:val="Title"/>
    <w:basedOn w:val="Normal"/>
    <w:next w:val="Normal"/>
    <w:link w:val="TitleChar"/>
    <w:uiPriority w:val="10"/>
    <w:qFormat/>
    <w:rsid w:val="001B1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A4D"/>
    <w:pPr>
      <w:spacing w:before="160"/>
      <w:jc w:val="center"/>
    </w:pPr>
    <w:rPr>
      <w:i/>
      <w:iCs/>
      <w:color w:val="404040" w:themeColor="text1" w:themeTint="BF"/>
    </w:rPr>
  </w:style>
  <w:style w:type="character" w:customStyle="1" w:styleId="QuoteChar">
    <w:name w:val="Quote Char"/>
    <w:basedOn w:val="DefaultParagraphFont"/>
    <w:link w:val="Quote"/>
    <w:uiPriority w:val="29"/>
    <w:rsid w:val="001B1A4D"/>
    <w:rPr>
      <w:i/>
      <w:iCs/>
      <w:color w:val="404040" w:themeColor="text1" w:themeTint="BF"/>
    </w:rPr>
  </w:style>
  <w:style w:type="paragraph" w:styleId="ListParagraph">
    <w:name w:val="List Paragraph"/>
    <w:basedOn w:val="Normal"/>
    <w:uiPriority w:val="34"/>
    <w:qFormat/>
    <w:rsid w:val="001B1A4D"/>
    <w:pPr>
      <w:ind w:left="720"/>
      <w:contextualSpacing/>
    </w:pPr>
  </w:style>
  <w:style w:type="character" w:styleId="IntenseEmphasis">
    <w:name w:val="Intense Emphasis"/>
    <w:basedOn w:val="DefaultParagraphFont"/>
    <w:uiPriority w:val="21"/>
    <w:qFormat/>
    <w:rsid w:val="001B1A4D"/>
    <w:rPr>
      <w:i/>
      <w:iCs/>
      <w:color w:val="0F4761" w:themeColor="accent1" w:themeShade="BF"/>
    </w:rPr>
  </w:style>
  <w:style w:type="paragraph" w:styleId="IntenseQuote">
    <w:name w:val="Intense Quote"/>
    <w:basedOn w:val="Normal"/>
    <w:next w:val="Normal"/>
    <w:link w:val="IntenseQuoteChar"/>
    <w:uiPriority w:val="30"/>
    <w:qFormat/>
    <w:rsid w:val="001B1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A4D"/>
    <w:rPr>
      <w:i/>
      <w:iCs/>
      <w:color w:val="0F4761" w:themeColor="accent1" w:themeShade="BF"/>
    </w:rPr>
  </w:style>
  <w:style w:type="character" w:styleId="IntenseReference">
    <w:name w:val="Intense Reference"/>
    <w:basedOn w:val="DefaultParagraphFont"/>
    <w:uiPriority w:val="32"/>
    <w:qFormat/>
    <w:rsid w:val="001B1A4D"/>
    <w:rPr>
      <w:b/>
      <w:bCs/>
      <w:smallCaps/>
      <w:color w:val="0F4761" w:themeColor="accent1" w:themeShade="BF"/>
      <w:spacing w:val="5"/>
    </w:rPr>
  </w:style>
  <w:style w:type="paragraph" w:customStyle="1" w:styleId="in">
    <w:name w:val="in"/>
    <w:basedOn w:val="Normal"/>
    <w:rsid w:val="001B1A4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B1A4D"/>
    <w:rPr>
      <w:color w:val="0000FF"/>
      <w:u w:val="single"/>
    </w:rPr>
  </w:style>
  <w:style w:type="character" w:styleId="UnresolvedMention">
    <w:name w:val="Unresolved Mention"/>
    <w:basedOn w:val="DefaultParagraphFont"/>
    <w:uiPriority w:val="99"/>
    <w:semiHidden/>
    <w:unhideWhenUsed/>
    <w:rsid w:val="00703E5B"/>
    <w:rPr>
      <w:color w:val="605E5C"/>
      <w:shd w:val="clear" w:color="auto" w:fill="E1DFDD"/>
    </w:rPr>
  </w:style>
  <w:style w:type="paragraph" w:styleId="FootnoteText">
    <w:name w:val="footnote text"/>
    <w:basedOn w:val="Normal"/>
    <w:link w:val="FootnoteTextChar"/>
    <w:uiPriority w:val="99"/>
    <w:semiHidden/>
    <w:unhideWhenUsed/>
    <w:rsid w:val="00964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B86"/>
    <w:rPr>
      <w:sz w:val="20"/>
      <w:szCs w:val="20"/>
    </w:rPr>
  </w:style>
  <w:style w:type="character" w:styleId="FootnoteReference">
    <w:name w:val="footnote reference"/>
    <w:basedOn w:val="DefaultParagraphFont"/>
    <w:uiPriority w:val="99"/>
    <w:semiHidden/>
    <w:unhideWhenUsed/>
    <w:rsid w:val="00964B86"/>
    <w:rPr>
      <w:vertAlign w:val="superscript"/>
    </w:rPr>
  </w:style>
  <w:style w:type="paragraph" w:styleId="NormalWeb">
    <w:name w:val="Normal (Web)"/>
    <w:basedOn w:val="Normal"/>
    <w:uiPriority w:val="99"/>
    <w:unhideWhenUsed/>
    <w:rsid w:val="00964B8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8678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78C3"/>
  </w:style>
  <w:style w:type="paragraph" w:styleId="Footer">
    <w:name w:val="footer"/>
    <w:basedOn w:val="Normal"/>
    <w:link w:val="FooterChar"/>
    <w:uiPriority w:val="99"/>
    <w:semiHidden/>
    <w:unhideWhenUsed/>
    <w:rsid w:val="008678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78C3"/>
  </w:style>
  <w:style w:type="character" w:styleId="CommentReference">
    <w:name w:val="annotation reference"/>
    <w:basedOn w:val="DefaultParagraphFont"/>
    <w:uiPriority w:val="99"/>
    <w:semiHidden/>
    <w:unhideWhenUsed/>
    <w:rsid w:val="000D6D24"/>
    <w:rPr>
      <w:sz w:val="16"/>
      <w:szCs w:val="16"/>
    </w:rPr>
  </w:style>
  <w:style w:type="paragraph" w:styleId="CommentText">
    <w:name w:val="annotation text"/>
    <w:basedOn w:val="Normal"/>
    <w:link w:val="CommentTextChar"/>
    <w:uiPriority w:val="99"/>
    <w:unhideWhenUsed/>
    <w:rsid w:val="000D6D24"/>
    <w:pPr>
      <w:spacing w:line="240" w:lineRule="auto"/>
    </w:pPr>
    <w:rPr>
      <w:sz w:val="20"/>
      <w:szCs w:val="20"/>
    </w:rPr>
  </w:style>
  <w:style w:type="character" w:customStyle="1" w:styleId="CommentTextChar">
    <w:name w:val="Comment Text Char"/>
    <w:basedOn w:val="DefaultParagraphFont"/>
    <w:link w:val="CommentText"/>
    <w:uiPriority w:val="99"/>
    <w:rsid w:val="000D6D24"/>
    <w:rPr>
      <w:sz w:val="20"/>
      <w:szCs w:val="20"/>
    </w:rPr>
  </w:style>
  <w:style w:type="paragraph" w:styleId="CommentSubject">
    <w:name w:val="annotation subject"/>
    <w:basedOn w:val="CommentText"/>
    <w:next w:val="CommentText"/>
    <w:link w:val="CommentSubjectChar"/>
    <w:uiPriority w:val="99"/>
    <w:semiHidden/>
    <w:unhideWhenUsed/>
    <w:rsid w:val="000D6D24"/>
    <w:rPr>
      <w:b/>
      <w:bCs/>
    </w:rPr>
  </w:style>
  <w:style w:type="character" w:customStyle="1" w:styleId="CommentSubjectChar">
    <w:name w:val="Comment Subject Char"/>
    <w:basedOn w:val="CommentTextChar"/>
    <w:link w:val="CommentSubject"/>
    <w:uiPriority w:val="99"/>
    <w:semiHidden/>
    <w:rsid w:val="000D6D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visor.mn.gov/statutes/cite/518B.01" TargetMode="External"/><Relationship Id="rId5" Type="http://schemas.openxmlformats.org/officeDocument/2006/relationships/styles" Target="styles.xml"/><Relationship Id="rId10" Type="http://schemas.openxmlformats.org/officeDocument/2006/relationships/hyperlink" Target="https://plus.lexis.com/document?pddocfullpath=%2fshared%2fdocument%2fcases%2furn%3acontentItem%3a69YK-PKV1-JNY7-X0Y4-00000-00&amp;pdmfid=1530671&amp;pdcontentcomponentid=7839&amp;pdproductcontenttypeid=urn%3apct%3a30&amp;pdisdoclinkaccess=true&amp;pdischatbotdoc=true&amp;passagetext=REVDSVNJT04gSS4gVGhlIGRpc3RyaWN0IGNvdXJ0IGRpZCBub3QgYS4qc3RhdHV0ZSdzIGVpZ2h0IGZhY3RvcnMgaW4gaXRzIGZpbmRpbmdzLg%3d%3d&amp;crid=9f973002-3d43-479c-b771-645d0abc7495&amp;pagenumber=5"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 TargetMode="External"/><Relationship Id="rId2" Type="http://schemas.openxmlformats.org/officeDocument/2006/relationships/hyperlink" Target="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 TargetMode="External"/><Relationship Id="rId1" Type="http://schemas.openxmlformats.org/officeDocument/2006/relationships/hyperlink" Target="https://plus.lexis.com/document?pddocfullpath=%2fshared%2fdocument%2fcases%2furn%3acontentItem%3a62HX-4XF1-F8KH-X3KG-00000-00&amp;pdmfid=1530671&amp;pdcontentcomponentid=7839&amp;pdproductcontenttypeid=urn%3apct%3a30&amp;pdisdoclinkaccess=true&amp;pdischatbotdoc=true&amp;passagetext=SW4gTWF5IDIwMjAsIHRoZSBkaXN0cmljdCBjb3VydCBpc3N1ZWQgYS4qc2UgYnkgdGhlIG90aGVyIHBhcmVudC4gSWQuLCBzdWJkLiAzKGMpLg%3d%3d&amp;crid=bbd0fcea-24ca-4abb-b730-0770fd1e629f&amp;pagenumber=6" TargetMode="External"/><Relationship Id="rId5" Type="http://schemas.openxmlformats.org/officeDocument/2006/relationships/hyperlink" Target="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 TargetMode="External"/><Relationship Id="rId4" Type="http://schemas.openxmlformats.org/officeDocument/2006/relationships/hyperlink" Target="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D793D71E8834597AD40567E1E016A" ma:contentTypeVersion="18" ma:contentTypeDescription="Create a new document." ma:contentTypeScope="" ma:versionID="b7ae871eded926dd9f9408d6d5becd88">
  <xsd:schema xmlns:xsd="http://www.w3.org/2001/XMLSchema" xmlns:xs="http://www.w3.org/2001/XMLSchema" xmlns:p="http://schemas.microsoft.com/office/2006/metadata/properties" xmlns:ns2="40b65bf5-530d-4fe6-aa76-7f104bd9f1a9" xmlns:ns3="0bf0890f-9744-4afa-99fb-b7ca3766c15e" targetNamespace="http://schemas.microsoft.com/office/2006/metadata/properties" ma:root="true" ma:fieldsID="121e493b963accbc8627fb3a24252299" ns2:_="" ns3:_="">
    <xsd:import namespace="40b65bf5-530d-4fe6-aa76-7f104bd9f1a9"/>
    <xsd:import namespace="0bf0890f-9744-4afa-99fb-b7ca3766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65bf5-530d-4fe6-aa76-7f104bd9f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09c9a9-da49-4b93-8c09-ac181fcd36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f0890f-9744-4afa-99fb-b7ca3766c1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e1c0c1-e0bb-43b7-b32a-69aa1a502fbf}" ma:internalName="TaxCatchAll" ma:showField="CatchAllData" ma:web="0bf0890f-9744-4afa-99fb-b7ca3766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b65bf5-530d-4fe6-aa76-7f104bd9f1a9">
      <Terms xmlns="http://schemas.microsoft.com/office/infopath/2007/PartnerControls"/>
    </lcf76f155ced4ddcb4097134ff3c332f>
    <TaxCatchAll xmlns="0bf0890f-9744-4afa-99fb-b7ca3766c1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62295-24D2-4560-8031-BAC022D05B61}"/>
</file>

<file path=customXml/itemProps2.xml><?xml version="1.0" encoding="utf-8"?>
<ds:datastoreItem xmlns:ds="http://schemas.openxmlformats.org/officeDocument/2006/customXml" ds:itemID="{61F17A5F-5B39-42F1-863B-F0E54863D8FF}">
  <ds:schemaRefs>
    <ds:schemaRef ds:uri="http://schemas.microsoft.com/office/2006/metadata/properties"/>
    <ds:schemaRef ds:uri="http://schemas.microsoft.com/office/infopath/2007/PartnerControls"/>
    <ds:schemaRef ds:uri="40b65bf5-530d-4fe6-aa76-7f104bd9f1a9"/>
    <ds:schemaRef ds:uri="0bf0890f-9744-4afa-99fb-b7ca3766c15e"/>
  </ds:schemaRefs>
</ds:datastoreItem>
</file>

<file path=customXml/itemProps3.xml><?xml version="1.0" encoding="utf-8"?>
<ds:datastoreItem xmlns:ds="http://schemas.openxmlformats.org/officeDocument/2006/customXml" ds:itemID="{D494C8D1-0074-4BAA-AD6B-C86891FB8A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862</Words>
  <Characters>4918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Links>
    <vt:vector size="42" baseType="variant">
      <vt:variant>
        <vt:i4>4784154</vt:i4>
      </vt:variant>
      <vt:variant>
        <vt:i4>3</vt:i4>
      </vt:variant>
      <vt:variant>
        <vt:i4>0</vt:i4>
      </vt:variant>
      <vt:variant>
        <vt:i4>5</vt:i4>
      </vt:variant>
      <vt:variant>
        <vt:lpwstr>https://www.revisor.mn.gov/statutes/cite/518B.01</vt:lpwstr>
      </vt:variant>
      <vt:variant>
        <vt:lpwstr/>
      </vt:variant>
      <vt:variant>
        <vt:i4>6291582</vt:i4>
      </vt:variant>
      <vt:variant>
        <vt:i4>0</vt:i4>
      </vt:variant>
      <vt:variant>
        <vt:i4>0</vt:i4>
      </vt:variant>
      <vt:variant>
        <vt:i4>5</vt:i4>
      </vt:variant>
      <vt:variant>
        <vt:lpwstr>https://plus.lexis.com/document?pddocfullpath=%2fshared%2fdocument%2fcases%2furn%3acontentItem%3a69YK-PKV1-JNY7-X0Y4-00000-00&amp;pdmfid=1530671&amp;pdcontentcomponentid=7839&amp;pdproductcontenttypeid=urn%3apct%3a30&amp;pdisdoclinkaccess=true&amp;pdischatbotdoc=true&amp;passagetext=REVDSVNJT04gSS4gVGhlIGRpc3RyaWN0IGNvdXJ0IGRpZCBub3QgYS4qc3RhdHV0ZSdzIGVpZ2h0IGZhY3RvcnMgaW4gaXRzIGZpbmRpbmdzLg%3d%3d&amp;crid=9f973002-3d43-479c-b771-645d0abc7495&amp;pagenumber=5</vt:lpwstr>
      </vt:variant>
      <vt:variant>
        <vt:lpwstr/>
      </vt:variant>
      <vt:variant>
        <vt:i4>6357106</vt:i4>
      </vt:variant>
      <vt:variant>
        <vt:i4>12</vt:i4>
      </vt:variant>
      <vt:variant>
        <vt:i4>0</vt:i4>
      </vt:variant>
      <vt:variant>
        <vt:i4>5</vt:i4>
      </vt:variant>
      <vt:variant>
        <vt:lpwstr>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vt:lpwstr>
      </vt:variant>
      <vt:variant>
        <vt:lpwstr/>
      </vt:variant>
      <vt:variant>
        <vt:i4>6357106</vt:i4>
      </vt:variant>
      <vt:variant>
        <vt:i4>9</vt:i4>
      </vt:variant>
      <vt:variant>
        <vt:i4>0</vt:i4>
      </vt:variant>
      <vt:variant>
        <vt:i4>5</vt:i4>
      </vt:variant>
      <vt:variant>
        <vt:lpwstr>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vt:lpwstr>
      </vt:variant>
      <vt:variant>
        <vt:lpwstr/>
      </vt:variant>
      <vt:variant>
        <vt:i4>6357106</vt:i4>
      </vt:variant>
      <vt:variant>
        <vt:i4>6</vt:i4>
      </vt:variant>
      <vt:variant>
        <vt:i4>0</vt:i4>
      </vt:variant>
      <vt:variant>
        <vt:i4>5</vt:i4>
      </vt:variant>
      <vt:variant>
        <vt:lpwstr>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vt:lpwstr>
      </vt:variant>
      <vt:variant>
        <vt:lpwstr/>
      </vt:variant>
      <vt:variant>
        <vt:i4>6357106</vt:i4>
      </vt:variant>
      <vt:variant>
        <vt:i4>3</vt:i4>
      </vt:variant>
      <vt:variant>
        <vt:i4>0</vt:i4>
      </vt:variant>
      <vt:variant>
        <vt:i4>5</vt:i4>
      </vt:variant>
      <vt:variant>
        <vt:lpwstr>https://plus.lexis.com/document?pddocfullpath=%2fshared%2fdocument%2fcases%2furn%3acontentItem%3a59RR-BNX1-F04H-108Y-00000-00&amp;pdmfid=1530671&amp;pdcontentcomponentid=7839&amp;pdproductcontenttypeid=urn%3apct%3a30&amp;pdisdoclinkaccess=true&amp;pdischatbotdoc=true&amp;passagetext=VGhlIGRpc3RyaWN0IGNvdXJ0IGRlbmllZCBhcHBlbGxhbnQncyBtby4qZWtpbmcgcmVsb2NhdGlvbi4gwqcgNTE4LjE3NSwgc3ViZC4gMyhjKS4%3d&amp;crid=6dd29b61-81f9-430c-85b1-751e6ccebc45&amp;pagenumber=800</vt:lpwstr>
      </vt:variant>
      <vt:variant>
        <vt:lpwstr/>
      </vt:variant>
      <vt:variant>
        <vt:i4>2883625</vt:i4>
      </vt:variant>
      <vt:variant>
        <vt:i4>0</vt:i4>
      </vt:variant>
      <vt:variant>
        <vt:i4>0</vt:i4>
      </vt:variant>
      <vt:variant>
        <vt:i4>5</vt:i4>
      </vt:variant>
      <vt:variant>
        <vt:lpwstr>https://plus.lexis.com/document?pddocfullpath=%2fshared%2fdocument%2fcases%2furn%3acontentItem%3a62HX-4XF1-F8KH-X3KG-00000-00&amp;pdmfid=1530671&amp;pdcontentcomponentid=7839&amp;pdproductcontenttypeid=urn%3apct%3a30&amp;pdisdoclinkaccess=true&amp;pdischatbotdoc=true&amp;passagetext=SW4gTWF5IDIwMjAsIHRoZSBkaXN0cmljdCBjb3VydCBpc3N1ZWQgYS4qc2UgYnkgdGhlIG90aGVyIHBhcmVudC4gSWQuLCBzdWJkLiAzKGMpLg%3d%3d&amp;crid=bbd0fcea-24ca-4abb-b730-0770fd1e629f&amp;pagenumber=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Forstner</dc:creator>
  <cp:keywords/>
  <dc:description/>
  <cp:lastModifiedBy>Angela Duryee</cp:lastModifiedBy>
  <cp:revision>61</cp:revision>
  <dcterms:created xsi:type="dcterms:W3CDTF">2026-01-28T19:08:00Z</dcterms:created>
  <dcterms:modified xsi:type="dcterms:W3CDTF">2026-02-04T17:28:00Z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0x0101000FFD793D71E8834597AD40567E1E016A</vt:lpwstr>
  </property>
  <property fmtid="{D5CDD505-2E9C-101B-9397-08002B2CF9AE}" pid="3" name="MediaServiceImageTags">
    <vt:lpwstr/>
  </property>
</Properties>
</file>